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5D803" w14:textId="77777777" w:rsidR="00A07FCB" w:rsidRPr="00883A09" w:rsidRDefault="00A07FCB" w:rsidP="00A07FCB">
      <w:pPr>
        <w:spacing w:line="480" w:lineRule="auto"/>
        <w:jc w:val="center"/>
        <w:rPr>
          <w:rFonts w:ascii="Times New Roman" w:hAnsi="Times New Roman" w:cs="Times New Roman"/>
          <w:b/>
          <w:sz w:val="24"/>
          <w:szCs w:val="24"/>
        </w:rPr>
      </w:pPr>
      <w:r w:rsidRPr="00883A09">
        <w:rPr>
          <w:rFonts w:ascii="Times New Roman" w:hAnsi="Times New Roman" w:cs="Times New Roman"/>
          <w:b/>
          <w:sz w:val="24"/>
          <w:szCs w:val="24"/>
        </w:rPr>
        <w:t xml:space="preserve">United States District Court </w:t>
      </w:r>
      <w:r w:rsidRPr="00883A09">
        <w:rPr>
          <w:rFonts w:ascii="Times New Roman" w:hAnsi="Times New Roman" w:cs="Times New Roman"/>
          <w:b/>
          <w:sz w:val="24"/>
          <w:szCs w:val="24"/>
        </w:rPr>
        <w:br/>
        <w:t>District of Moot</w:t>
      </w:r>
    </w:p>
    <w:p w14:paraId="0A0CC7A1" w14:textId="77777777" w:rsidR="00A07FCB" w:rsidRPr="00883A09" w:rsidRDefault="00A07FCB" w:rsidP="00A07FCB">
      <w:pPr>
        <w:spacing w:line="480" w:lineRule="auto"/>
        <w:jc w:val="center"/>
        <w:rPr>
          <w:rFonts w:ascii="Times New Roman" w:hAnsi="Times New Roman" w:cs="Times New Roman"/>
          <w:b/>
          <w:sz w:val="24"/>
          <w:szCs w:val="24"/>
        </w:rPr>
      </w:pPr>
      <w:r w:rsidRPr="00883A09">
        <w:rPr>
          <w:rFonts w:ascii="Times New Roman" w:hAnsi="Times New Roman" w:cs="Times New Roman"/>
          <w:b/>
          <w:sz w:val="24"/>
          <w:szCs w:val="24"/>
        </w:rPr>
        <w:t>______________________________________________________________________________</w:t>
      </w:r>
    </w:p>
    <w:p w14:paraId="27532B7B" w14:textId="77777777" w:rsidR="00A07FCB" w:rsidRPr="00883A09" w:rsidRDefault="00A07FCB" w:rsidP="00A07FCB">
      <w:pPr>
        <w:spacing w:line="480" w:lineRule="auto"/>
        <w:rPr>
          <w:rFonts w:ascii="Times New Roman" w:hAnsi="Times New Roman" w:cs="Times New Roman"/>
          <w:sz w:val="24"/>
          <w:szCs w:val="24"/>
        </w:rPr>
      </w:pPr>
      <w:r w:rsidRPr="00883A09">
        <w:rPr>
          <w:rFonts w:ascii="Times New Roman" w:hAnsi="Times New Roman" w:cs="Times New Roman"/>
          <w:sz w:val="24"/>
          <w:szCs w:val="24"/>
        </w:rPr>
        <w:t xml:space="preserve">OGS TV, Inc. </w:t>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t>Civ. No. 27-CV-12-1234</w:t>
      </w:r>
      <w:r w:rsidRPr="00883A09">
        <w:rPr>
          <w:rFonts w:ascii="Times New Roman" w:hAnsi="Times New Roman" w:cs="Times New Roman"/>
          <w:sz w:val="24"/>
          <w:szCs w:val="24"/>
        </w:rPr>
        <w:br/>
      </w:r>
      <w:r w:rsidRPr="00883A09">
        <w:rPr>
          <w:rFonts w:ascii="Times New Roman" w:hAnsi="Times New Roman" w:cs="Times New Roman"/>
          <w:sz w:val="24"/>
          <w:szCs w:val="24"/>
        </w:rPr>
        <w:tab/>
        <w:t>Plaintiff</w:t>
      </w:r>
    </w:p>
    <w:p w14:paraId="3CB7C5CE" w14:textId="77777777" w:rsidR="00A07FCB" w:rsidRPr="00883A09" w:rsidRDefault="00A07FCB" w:rsidP="00A07FCB">
      <w:pPr>
        <w:spacing w:line="480" w:lineRule="auto"/>
        <w:rPr>
          <w:rFonts w:ascii="Times New Roman" w:hAnsi="Times New Roman" w:cs="Times New Roman"/>
          <w:sz w:val="24"/>
          <w:szCs w:val="24"/>
        </w:rPr>
      </w:pPr>
      <w:r w:rsidRPr="00883A09">
        <w:rPr>
          <w:rFonts w:ascii="Times New Roman" w:hAnsi="Times New Roman" w:cs="Times New Roman"/>
          <w:sz w:val="24"/>
          <w:szCs w:val="24"/>
        </w:rPr>
        <w:t>v.</w:t>
      </w:r>
    </w:p>
    <w:p w14:paraId="712C4B8C" w14:textId="77777777" w:rsidR="00A07FCB" w:rsidRPr="00883A09" w:rsidRDefault="00A07FCB" w:rsidP="00A07FCB">
      <w:pPr>
        <w:spacing w:line="480" w:lineRule="auto"/>
        <w:rPr>
          <w:rFonts w:ascii="Times New Roman" w:hAnsi="Times New Roman" w:cs="Times New Roman"/>
          <w:sz w:val="24"/>
          <w:szCs w:val="24"/>
        </w:rPr>
      </w:pPr>
      <w:r w:rsidRPr="00883A09">
        <w:rPr>
          <w:rFonts w:ascii="Times New Roman" w:hAnsi="Times New Roman" w:cs="Times New Roman"/>
          <w:sz w:val="24"/>
          <w:szCs w:val="24"/>
        </w:rPr>
        <w:t xml:space="preserve">Elizabeth Lime, and Tiny TV, Inc. </w:t>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t xml:space="preserve">PLAINTIFF’S MEMORANDUM IN </w:t>
      </w:r>
      <w:r w:rsidRPr="00883A09">
        <w:rPr>
          <w:rFonts w:ascii="Times New Roman" w:hAnsi="Times New Roman" w:cs="Times New Roman"/>
          <w:sz w:val="24"/>
          <w:szCs w:val="24"/>
        </w:rPr>
        <w:br/>
        <w:t xml:space="preserve"> </w:t>
      </w:r>
      <w:r w:rsidRPr="00883A09">
        <w:rPr>
          <w:rFonts w:ascii="Times New Roman" w:hAnsi="Times New Roman" w:cs="Times New Roman"/>
          <w:sz w:val="24"/>
          <w:szCs w:val="24"/>
        </w:rPr>
        <w:tab/>
        <w:t>Defendants</w:t>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t xml:space="preserve">OPPOSITION OF A MOTION TO </w:t>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r>
      <w:r w:rsidRPr="00883A09">
        <w:rPr>
          <w:rFonts w:ascii="Times New Roman" w:hAnsi="Times New Roman" w:cs="Times New Roman"/>
          <w:sz w:val="24"/>
          <w:szCs w:val="24"/>
        </w:rPr>
        <w:tab/>
        <w:t xml:space="preserve">DISMISS </w:t>
      </w:r>
    </w:p>
    <w:p w14:paraId="4B5B2049" w14:textId="77777777" w:rsidR="00A07FCB" w:rsidRPr="00883A09" w:rsidRDefault="00A07FCB" w:rsidP="00A07FCB">
      <w:pPr>
        <w:spacing w:line="480" w:lineRule="auto"/>
        <w:jc w:val="center"/>
        <w:rPr>
          <w:rFonts w:ascii="Times New Roman" w:hAnsi="Times New Roman" w:cs="Times New Roman"/>
          <w:sz w:val="24"/>
          <w:szCs w:val="24"/>
        </w:rPr>
      </w:pPr>
      <w:r w:rsidRPr="00883A09">
        <w:rPr>
          <w:rFonts w:ascii="Times New Roman" w:hAnsi="Times New Roman" w:cs="Times New Roman"/>
          <w:sz w:val="24"/>
          <w:szCs w:val="24"/>
        </w:rPr>
        <w:t>______________________________________________________________________________</w:t>
      </w:r>
    </w:p>
    <w:p w14:paraId="01F2760D" w14:textId="77777777" w:rsidR="00A07FCB" w:rsidRDefault="00A07FCB" w:rsidP="00A07FCB">
      <w:pPr>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INTRODUCTION </w:t>
      </w:r>
    </w:p>
    <w:p w14:paraId="4DA788EB" w14:textId="77777777" w:rsidR="00897860" w:rsidRDefault="00A07FCB" w:rsidP="00A07FCB">
      <w:pPr>
        <w:spacing w:line="480" w:lineRule="auto"/>
        <w:rPr>
          <w:rFonts w:ascii="Times New Roman" w:hAnsi="Times New Roman" w:cs="Times New Roman"/>
          <w:sz w:val="24"/>
          <w:szCs w:val="24"/>
        </w:rPr>
      </w:pPr>
      <w:r>
        <w:tab/>
      </w:r>
      <w:r>
        <w:rPr>
          <w:rFonts w:ascii="Times New Roman" w:hAnsi="Times New Roman" w:cs="Times New Roman"/>
          <w:sz w:val="24"/>
          <w:szCs w:val="24"/>
        </w:rPr>
        <w:t xml:space="preserve">Plaintiff, OGS TV, Inc. (OGS), submits this Memorandum in Opposition of Defendant’s Motion to Dismiss under Federal Rule of Civil Procedure 12(b)(6). OGS filed a complaint against Defendants for violating the federal Copyright Act of 1976, as amended 17 U.S.C. </w:t>
      </w:r>
      <w:r w:rsidRPr="00A242FA">
        <w:rPr>
          <w:rFonts w:ascii="Times New Roman" w:hAnsi="Times New Roman" w:cs="Times New Roman"/>
          <w:sz w:val="24"/>
          <w:szCs w:val="24"/>
        </w:rPr>
        <w:t>§§</w:t>
      </w:r>
      <w:r>
        <w:rPr>
          <w:rFonts w:ascii="Times New Roman" w:hAnsi="Times New Roman" w:cs="Times New Roman"/>
          <w:sz w:val="24"/>
          <w:szCs w:val="24"/>
        </w:rPr>
        <w:t xml:space="preserve"> 101 et seq alleging Elizabeth Lime (“Lime”) infringed upon OGS’ copyright of the screenplay “Anticipatory Repudiation.” Upon express agreement between OGS and Lime, the work made for hire is authored and owned by OGS. A plain reading of 17 U.S.C., </w:t>
      </w:r>
      <w:r w:rsidRPr="00A242FA">
        <w:rPr>
          <w:rFonts w:ascii="Times New Roman" w:hAnsi="Times New Roman" w:cs="Times New Roman"/>
          <w:sz w:val="24"/>
          <w:szCs w:val="24"/>
        </w:rPr>
        <w:t>§§</w:t>
      </w:r>
      <w:r>
        <w:rPr>
          <w:rFonts w:ascii="Times New Roman" w:hAnsi="Times New Roman" w:cs="Times New Roman"/>
          <w:sz w:val="24"/>
          <w:szCs w:val="24"/>
        </w:rPr>
        <w:t xml:space="preserve"> 101, supported  by legislative history, application of the canons of construction, and policy considerations</w:t>
      </w:r>
      <w:r w:rsidR="00DA3404">
        <w:rPr>
          <w:rFonts w:ascii="Times New Roman" w:hAnsi="Times New Roman" w:cs="Times New Roman"/>
          <w:sz w:val="24"/>
          <w:szCs w:val="24"/>
        </w:rPr>
        <w:t xml:space="preserve"> establish that the written agreement for OGS’ ownership of the work-made-for-hire “Anticipatory Repudiation” is valid, and therefore </w:t>
      </w:r>
      <w:r>
        <w:rPr>
          <w:rFonts w:ascii="Times New Roman" w:hAnsi="Times New Roman" w:cs="Times New Roman"/>
          <w:sz w:val="24"/>
          <w:szCs w:val="24"/>
        </w:rPr>
        <w:t>Defendants’ actions related to</w:t>
      </w:r>
      <w:r w:rsidR="00DA3404">
        <w:rPr>
          <w:rFonts w:ascii="Times New Roman" w:hAnsi="Times New Roman" w:cs="Times New Roman"/>
          <w:sz w:val="24"/>
          <w:szCs w:val="24"/>
        </w:rPr>
        <w:t xml:space="preserve"> the screenplay to the “Love Below” amounts to copyright infringement.</w:t>
      </w:r>
      <w:r>
        <w:rPr>
          <w:rFonts w:ascii="Times New Roman" w:hAnsi="Times New Roman" w:cs="Times New Roman"/>
          <w:sz w:val="24"/>
          <w:szCs w:val="24"/>
        </w:rPr>
        <w:t xml:space="preserve"> </w:t>
      </w:r>
    </w:p>
    <w:p w14:paraId="2F3C820E" w14:textId="77777777" w:rsidR="00A07FCB" w:rsidRDefault="00A07FCB" w:rsidP="00A07FCB">
      <w:pPr>
        <w:spacing w:line="480" w:lineRule="auto"/>
        <w:jc w:val="center"/>
        <w:rPr>
          <w:rFonts w:ascii="Times New Roman" w:hAnsi="Times New Roman" w:cs="Times New Roman"/>
          <w:sz w:val="24"/>
          <w:szCs w:val="24"/>
        </w:rPr>
      </w:pPr>
      <w:r w:rsidRPr="00A07FCB">
        <w:rPr>
          <w:rFonts w:ascii="Times New Roman" w:hAnsi="Times New Roman" w:cs="Times New Roman"/>
          <w:b/>
          <w:sz w:val="24"/>
          <w:szCs w:val="24"/>
          <w:u w:val="single"/>
        </w:rPr>
        <w:lastRenderedPageBreak/>
        <w:t>UNDISPUTED</w:t>
      </w:r>
      <w:r>
        <w:rPr>
          <w:rFonts w:ascii="Times New Roman" w:hAnsi="Times New Roman" w:cs="Times New Roman"/>
          <w:b/>
          <w:sz w:val="24"/>
          <w:szCs w:val="24"/>
          <w:u w:val="single"/>
        </w:rPr>
        <w:t xml:space="preserve"> FACTS AND PROCEDURAL POSTURE </w:t>
      </w:r>
    </w:p>
    <w:p w14:paraId="3F562608" w14:textId="77777777" w:rsidR="00A07FCB" w:rsidRDefault="00A07FCB" w:rsidP="00A07FCB">
      <w:pPr>
        <w:spacing w:line="480" w:lineRule="auto"/>
        <w:rPr>
          <w:rStyle w:val="st"/>
          <w:rFonts w:ascii="Times New Roman" w:hAnsi="Times New Roman" w:cs="Times New Roman"/>
          <w:sz w:val="24"/>
          <w:szCs w:val="24"/>
        </w:rPr>
      </w:pPr>
      <w:r>
        <w:rPr>
          <w:rFonts w:ascii="Times New Roman" w:hAnsi="Times New Roman" w:cs="Times New Roman"/>
          <w:sz w:val="24"/>
          <w:szCs w:val="24"/>
        </w:rPr>
        <w:tab/>
      </w:r>
      <w:r w:rsidR="004C1ABD">
        <w:rPr>
          <w:rFonts w:ascii="Times New Roman" w:hAnsi="Times New Roman" w:cs="Times New Roman"/>
          <w:sz w:val="24"/>
          <w:szCs w:val="24"/>
        </w:rPr>
        <w:t xml:space="preserve">For the purposes of this Motion, the following matters are undisputed. OGS hired Lime to write a screenplay for the television series </w:t>
      </w:r>
      <w:r w:rsidR="004C1ABD">
        <w:rPr>
          <w:rFonts w:ascii="Times New Roman" w:hAnsi="Times New Roman" w:cs="Times New Roman"/>
          <w:i/>
          <w:sz w:val="24"/>
          <w:szCs w:val="24"/>
        </w:rPr>
        <w:t>Lawless Love</w:t>
      </w:r>
      <w:r w:rsidR="004C1ABD">
        <w:rPr>
          <w:rFonts w:ascii="Times New Roman" w:hAnsi="Times New Roman" w:cs="Times New Roman"/>
          <w:sz w:val="24"/>
          <w:szCs w:val="24"/>
        </w:rPr>
        <w:t xml:space="preserve">.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5, 13. OGS created, produced, and aired </w:t>
      </w:r>
      <w:r w:rsidR="004C1ABD">
        <w:rPr>
          <w:rStyle w:val="st"/>
          <w:rFonts w:ascii="Times New Roman" w:hAnsi="Times New Roman" w:cs="Times New Roman"/>
          <w:i/>
          <w:sz w:val="24"/>
          <w:szCs w:val="24"/>
        </w:rPr>
        <w:t>Lawless Love</w:t>
      </w:r>
      <w:r w:rsidR="004C1ABD">
        <w:rPr>
          <w:rStyle w:val="st"/>
          <w:rFonts w:ascii="Times New Roman" w:hAnsi="Times New Roman" w:cs="Times New Roman"/>
          <w:sz w:val="24"/>
          <w:szCs w:val="24"/>
        </w:rPr>
        <w:t xml:space="preserve">.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5. OGS’ hiring of Lime was the first instance of OGS hiring outside the company for the development of a screenplay.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9. On March 17, 2010, executive producer Dave Nelson and Lime orally agreed that Lime would prepare a screenplay for </w:t>
      </w:r>
      <w:r w:rsidR="004C1ABD">
        <w:rPr>
          <w:rStyle w:val="st"/>
          <w:rFonts w:ascii="Times New Roman" w:hAnsi="Times New Roman" w:cs="Times New Roman"/>
          <w:i/>
          <w:sz w:val="24"/>
          <w:szCs w:val="24"/>
        </w:rPr>
        <w:t>Lawless Love</w:t>
      </w:r>
      <w:r w:rsidR="004C1ABD">
        <w:rPr>
          <w:rStyle w:val="st"/>
          <w:rFonts w:ascii="Times New Roman" w:hAnsi="Times New Roman" w:cs="Times New Roman"/>
          <w:sz w:val="24"/>
          <w:szCs w:val="24"/>
        </w:rPr>
        <w:t xml:space="preserve"> by April 1, 2010.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10, 12, 13. Nelson and Lime decided Lime would commence work immediately, </w:t>
      </w:r>
      <w:r w:rsidR="00A651AD">
        <w:rPr>
          <w:rStyle w:val="st"/>
          <w:rFonts w:ascii="Times New Roman" w:hAnsi="Times New Roman" w:cs="Times New Roman"/>
          <w:sz w:val="24"/>
          <w:szCs w:val="24"/>
        </w:rPr>
        <w:t>with both agreeing</w:t>
      </w:r>
      <w:r w:rsidR="004C1ABD">
        <w:rPr>
          <w:rStyle w:val="st"/>
          <w:rFonts w:ascii="Times New Roman" w:hAnsi="Times New Roman" w:cs="Times New Roman"/>
          <w:sz w:val="24"/>
          <w:szCs w:val="24"/>
        </w:rPr>
        <w:t xml:space="preserve"> to complete the paperwork later.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20. On April 6, 2010, Lime and Nelson signed a document labeled “Work-Made-For-Hire Agreement,” and OGS paid Lime $6,000.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24, 25. At the end of the Spring television season, Lime asked why OGS did not use “Anticipatory Repudiation” in the </w:t>
      </w:r>
      <w:r w:rsidR="004C1ABD">
        <w:rPr>
          <w:rStyle w:val="st"/>
          <w:rFonts w:ascii="Times New Roman" w:hAnsi="Times New Roman" w:cs="Times New Roman"/>
          <w:i/>
          <w:sz w:val="24"/>
          <w:szCs w:val="24"/>
        </w:rPr>
        <w:t xml:space="preserve">Lawless Love </w:t>
      </w:r>
      <w:r w:rsidR="004C1ABD">
        <w:rPr>
          <w:rStyle w:val="st"/>
          <w:rFonts w:ascii="Times New Roman" w:hAnsi="Times New Roman" w:cs="Times New Roman"/>
          <w:sz w:val="24"/>
          <w:szCs w:val="24"/>
        </w:rPr>
        <w:t xml:space="preserve">series.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29. Nelson cited OGS executives’ dissatisfaction with the quality and theme of the screenplay.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26. </w:t>
      </w:r>
      <w:r w:rsidR="004C1ABD">
        <w:rPr>
          <w:rStyle w:val="st"/>
          <w:rFonts w:ascii="Times New Roman" w:hAnsi="Times New Roman" w:cs="Times New Roman"/>
          <w:sz w:val="24"/>
          <w:szCs w:val="24"/>
        </w:rPr>
        <w:br/>
        <w:t xml:space="preserve"> </w:t>
      </w:r>
      <w:r w:rsidR="004C1ABD">
        <w:rPr>
          <w:rStyle w:val="st"/>
          <w:rFonts w:ascii="Times New Roman" w:hAnsi="Times New Roman" w:cs="Times New Roman"/>
          <w:sz w:val="24"/>
          <w:szCs w:val="24"/>
        </w:rPr>
        <w:tab/>
        <w:t xml:space="preserve">In August 2010, defendants, Lime and Tiny TV, created the television series </w:t>
      </w:r>
      <w:r w:rsidR="004C1ABD">
        <w:rPr>
          <w:rStyle w:val="st"/>
          <w:rFonts w:ascii="Times New Roman" w:hAnsi="Times New Roman" w:cs="Times New Roman"/>
          <w:i/>
          <w:sz w:val="24"/>
          <w:szCs w:val="24"/>
        </w:rPr>
        <w:t>The Tin Can</w:t>
      </w:r>
      <w:r w:rsidR="004C1ABD">
        <w:rPr>
          <w:rStyle w:val="st"/>
          <w:rFonts w:ascii="Times New Roman" w:hAnsi="Times New Roman" w:cs="Times New Roman"/>
          <w:sz w:val="24"/>
          <w:szCs w:val="24"/>
        </w:rPr>
        <w:t xml:space="preserve">.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27. On September 7, 2010, the defendants produced, performed, and broadcasted the screenplay “The Love Below” as an episode of </w:t>
      </w:r>
      <w:r w:rsidR="004C1ABD">
        <w:rPr>
          <w:rStyle w:val="st"/>
          <w:rFonts w:ascii="Times New Roman" w:hAnsi="Times New Roman" w:cs="Times New Roman"/>
          <w:i/>
          <w:sz w:val="24"/>
          <w:szCs w:val="24"/>
        </w:rPr>
        <w:t>The Tin Can</w:t>
      </w:r>
      <w:r w:rsidR="004C1ABD">
        <w:rPr>
          <w:rStyle w:val="st"/>
          <w:rFonts w:ascii="Times New Roman" w:hAnsi="Times New Roman" w:cs="Times New Roman"/>
          <w:sz w:val="24"/>
          <w:szCs w:val="24"/>
        </w:rPr>
        <w:t xml:space="preserve">, which aired on Tiny TV’s cable television channel. Compl. </w:t>
      </w:r>
      <w:r w:rsidR="004C1ABD" w:rsidRPr="00A242FA">
        <w:rPr>
          <w:rStyle w:val="st"/>
          <w:rFonts w:ascii="Times New Roman" w:hAnsi="Times New Roman" w:cs="Times New Roman"/>
          <w:sz w:val="24"/>
          <w:szCs w:val="24"/>
        </w:rPr>
        <w:t>¶</w:t>
      </w:r>
      <w:r w:rsidR="004C1ABD">
        <w:rPr>
          <w:rStyle w:val="st"/>
          <w:rFonts w:ascii="Times New Roman" w:hAnsi="Times New Roman" w:cs="Times New Roman"/>
          <w:sz w:val="24"/>
          <w:szCs w:val="24"/>
        </w:rPr>
        <w:t xml:space="preserve"> 29. </w:t>
      </w:r>
      <w:r w:rsidR="00AD062A">
        <w:rPr>
          <w:rStyle w:val="st"/>
          <w:rFonts w:ascii="Times New Roman" w:hAnsi="Times New Roman" w:cs="Times New Roman"/>
          <w:sz w:val="24"/>
          <w:szCs w:val="24"/>
        </w:rPr>
        <w:t xml:space="preserve">The defendants </w:t>
      </w:r>
      <w:r w:rsidR="00543FFF">
        <w:rPr>
          <w:rStyle w:val="st"/>
          <w:rFonts w:ascii="Times New Roman" w:hAnsi="Times New Roman" w:cs="Times New Roman"/>
          <w:sz w:val="24"/>
          <w:szCs w:val="24"/>
        </w:rPr>
        <w:t>acted in order to profit from the series.</w:t>
      </w:r>
      <w:r w:rsidR="00AD062A">
        <w:rPr>
          <w:rStyle w:val="st"/>
          <w:rFonts w:ascii="Times New Roman" w:hAnsi="Times New Roman" w:cs="Times New Roman"/>
          <w:sz w:val="24"/>
          <w:szCs w:val="24"/>
        </w:rPr>
        <w:t xml:space="preserve"> Absent OGS’ knowledge or consent, the defendants drew substantially from OGS’ copyrighted screenplay “Anticipatory Repudiation” when writing “The Love Below.” Compl. </w:t>
      </w:r>
      <w:r w:rsidR="00AD062A" w:rsidRPr="00A242FA">
        <w:rPr>
          <w:rStyle w:val="st"/>
          <w:rFonts w:ascii="Times New Roman" w:hAnsi="Times New Roman" w:cs="Times New Roman"/>
          <w:sz w:val="24"/>
          <w:szCs w:val="24"/>
        </w:rPr>
        <w:t>¶</w:t>
      </w:r>
      <w:r w:rsidR="00AD062A">
        <w:rPr>
          <w:rStyle w:val="st"/>
          <w:rFonts w:ascii="Times New Roman" w:hAnsi="Times New Roman" w:cs="Times New Roman"/>
          <w:sz w:val="24"/>
          <w:szCs w:val="24"/>
        </w:rPr>
        <w:t xml:space="preserve"> 29. The screenplays have showed differentiation in regards to their premises, as well as the names and occupations of the characters. Compl. </w:t>
      </w:r>
      <w:r w:rsidR="00AD062A" w:rsidRPr="00A242FA">
        <w:rPr>
          <w:rStyle w:val="st"/>
          <w:rFonts w:ascii="Times New Roman" w:hAnsi="Times New Roman" w:cs="Times New Roman"/>
          <w:sz w:val="24"/>
          <w:szCs w:val="24"/>
        </w:rPr>
        <w:t>¶</w:t>
      </w:r>
      <w:r w:rsidR="00AD062A">
        <w:rPr>
          <w:rStyle w:val="st"/>
          <w:rFonts w:ascii="Times New Roman" w:hAnsi="Times New Roman" w:cs="Times New Roman"/>
          <w:sz w:val="24"/>
          <w:szCs w:val="24"/>
        </w:rPr>
        <w:t xml:space="preserve"> 31. The copyrighted screenplay “Anticipatory Repudiation” and the screenplay “The Love Below</w:t>
      </w:r>
      <w:r w:rsidR="00543FFF">
        <w:rPr>
          <w:rStyle w:val="st"/>
          <w:rFonts w:ascii="Times New Roman" w:hAnsi="Times New Roman" w:cs="Times New Roman"/>
          <w:sz w:val="24"/>
          <w:szCs w:val="24"/>
        </w:rPr>
        <w:t>”</w:t>
      </w:r>
      <w:r w:rsidR="00AD062A">
        <w:rPr>
          <w:rStyle w:val="st"/>
          <w:rFonts w:ascii="Times New Roman" w:hAnsi="Times New Roman" w:cs="Times New Roman"/>
          <w:sz w:val="24"/>
          <w:szCs w:val="24"/>
        </w:rPr>
        <w:t xml:space="preserve"> contain identical dialogue, characters, and storylines. Compl. </w:t>
      </w:r>
      <w:r w:rsidR="00AD062A" w:rsidRPr="00A242FA">
        <w:rPr>
          <w:rStyle w:val="st"/>
          <w:rFonts w:ascii="Times New Roman" w:hAnsi="Times New Roman" w:cs="Times New Roman"/>
          <w:sz w:val="24"/>
          <w:szCs w:val="24"/>
        </w:rPr>
        <w:t>¶</w:t>
      </w:r>
      <w:r w:rsidR="00AD062A">
        <w:rPr>
          <w:rStyle w:val="st"/>
          <w:rFonts w:ascii="Times New Roman" w:hAnsi="Times New Roman" w:cs="Times New Roman"/>
          <w:sz w:val="24"/>
          <w:szCs w:val="24"/>
        </w:rPr>
        <w:t xml:space="preserve"> 31. </w:t>
      </w:r>
      <w:r w:rsidR="00AD062A">
        <w:rPr>
          <w:rStyle w:val="st"/>
          <w:rFonts w:ascii="Times New Roman" w:hAnsi="Times New Roman" w:cs="Times New Roman"/>
          <w:sz w:val="24"/>
          <w:szCs w:val="24"/>
        </w:rPr>
        <w:br/>
      </w:r>
      <w:r w:rsidR="00AD062A">
        <w:rPr>
          <w:rStyle w:val="st"/>
          <w:rFonts w:ascii="Times New Roman" w:hAnsi="Times New Roman" w:cs="Times New Roman"/>
          <w:sz w:val="24"/>
          <w:szCs w:val="24"/>
        </w:rPr>
        <w:lastRenderedPageBreak/>
        <w:t xml:space="preserve"> </w:t>
      </w:r>
      <w:r w:rsidR="00AD062A">
        <w:rPr>
          <w:rStyle w:val="st"/>
          <w:rFonts w:ascii="Times New Roman" w:hAnsi="Times New Roman" w:cs="Times New Roman"/>
          <w:sz w:val="24"/>
          <w:szCs w:val="24"/>
        </w:rPr>
        <w:tab/>
        <w:t xml:space="preserve">Back on April 1, 2010, when Lime met Nelson, Lime understood that “Anticipatory Repudiation” was the product of a work-made-for-hire agreement. Compl. </w:t>
      </w:r>
      <w:r w:rsidR="00AD062A" w:rsidRPr="00A242FA">
        <w:rPr>
          <w:rStyle w:val="st"/>
          <w:rFonts w:ascii="Times New Roman" w:hAnsi="Times New Roman" w:cs="Times New Roman"/>
          <w:sz w:val="24"/>
          <w:szCs w:val="24"/>
        </w:rPr>
        <w:t>¶</w:t>
      </w:r>
      <w:r w:rsidR="00A651AD">
        <w:rPr>
          <w:rStyle w:val="st"/>
          <w:rFonts w:ascii="Times New Roman" w:hAnsi="Times New Roman" w:cs="Times New Roman"/>
          <w:sz w:val="24"/>
          <w:szCs w:val="24"/>
        </w:rPr>
        <w:t xml:space="preserve"> 16, 17.</w:t>
      </w:r>
      <w:r w:rsidR="004B1BDA">
        <w:rPr>
          <w:rStyle w:val="st"/>
          <w:rFonts w:ascii="Times New Roman" w:hAnsi="Times New Roman" w:cs="Times New Roman"/>
          <w:sz w:val="24"/>
          <w:szCs w:val="24"/>
        </w:rPr>
        <w:t xml:space="preserve">  In their discussion, Nelson told Lime that, “Your work on the screenplay is for hire,” and asked her if she understood. Compl. </w:t>
      </w:r>
      <w:r w:rsidR="004B1BDA" w:rsidRPr="00A242FA">
        <w:rPr>
          <w:rStyle w:val="st"/>
          <w:rFonts w:ascii="Times New Roman" w:hAnsi="Times New Roman" w:cs="Times New Roman"/>
          <w:sz w:val="24"/>
          <w:szCs w:val="24"/>
        </w:rPr>
        <w:t>¶</w:t>
      </w:r>
      <w:r w:rsidR="004B1BDA">
        <w:rPr>
          <w:rStyle w:val="st"/>
          <w:rFonts w:ascii="Times New Roman" w:hAnsi="Times New Roman" w:cs="Times New Roman"/>
          <w:sz w:val="24"/>
          <w:szCs w:val="24"/>
        </w:rPr>
        <w:t xml:space="preserve"> 16. She replied in the affirmative. Compl. </w:t>
      </w:r>
      <w:r w:rsidR="004B1BDA" w:rsidRPr="00A242FA">
        <w:rPr>
          <w:rStyle w:val="st"/>
          <w:rFonts w:ascii="Times New Roman" w:hAnsi="Times New Roman" w:cs="Times New Roman"/>
          <w:sz w:val="24"/>
          <w:szCs w:val="24"/>
        </w:rPr>
        <w:t>¶</w:t>
      </w:r>
      <w:r w:rsidR="004B1BDA">
        <w:rPr>
          <w:rStyle w:val="st"/>
          <w:rFonts w:ascii="Times New Roman" w:hAnsi="Times New Roman" w:cs="Times New Roman"/>
          <w:sz w:val="24"/>
          <w:szCs w:val="24"/>
        </w:rPr>
        <w:t xml:space="preserve">  17. </w:t>
      </w:r>
      <w:r w:rsidR="00A651AD">
        <w:rPr>
          <w:rStyle w:val="st"/>
          <w:rFonts w:ascii="Times New Roman" w:hAnsi="Times New Roman" w:cs="Times New Roman"/>
          <w:sz w:val="24"/>
          <w:szCs w:val="24"/>
        </w:rPr>
        <w:t xml:space="preserve"> On April </w:t>
      </w:r>
      <w:r w:rsidR="00AD062A">
        <w:rPr>
          <w:rStyle w:val="st"/>
          <w:rFonts w:ascii="Times New Roman" w:hAnsi="Times New Roman" w:cs="Times New Roman"/>
          <w:sz w:val="24"/>
          <w:szCs w:val="24"/>
        </w:rPr>
        <w:t>6,</w:t>
      </w:r>
      <w:r w:rsidR="00A651AD">
        <w:rPr>
          <w:rStyle w:val="st"/>
          <w:rFonts w:ascii="Times New Roman" w:hAnsi="Times New Roman" w:cs="Times New Roman"/>
          <w:sz w:val="24"/>
          <w:szCs w:val="24"/>
        </w:rPr>
        <w:t xml:space="preserve"> 2010, Nelson and Lime signed a written</w:t>
      </w:r>
      <w:r w:rsidR="00AD062A">
        <w:rPr>
          <w:rStyle w:val="st"/>
          <w:rFonts w:ascii="Times New Roman" w:hAnsi="Times New Roman" w:cs="Times New Roman"/>
          <w:sz w:val="24"/>
          <w:szCs w:val="24"/>
        </w:rPr>
        <w:t xml:space="preserve"> agreement stating “Anticipatory Repudiation” was a work-made-for-hire</w:t>
      </w:r>
      <w:r w:rsidR="00A651AD">
        <w:rPr>
          <w:rStyle w:val="st"/>
          <w:rFonts w:ascii="Times New Roman" w:hAnsi="Times New Roman" w:cs="Times New Roman"/>
          <w:sz w:val="24"/>
          <w:szCs w:val="24"/>
        </w:rPr>
        <w:t xml:space="preserve"> and that OGS was its author</w:t>
      </w:r>
      <w:r w:rsidR="00AD062A">
        <w:rPr>
          <w:rStyle w:val="st"/>
          <w:rFonts w:ascii="Times New Roman" w:hAnsi="Times New Roman" w:cs="Times New Roman"/>
          <w:sz w:val="24"/>
          <w:szCs w:val="24"/>
        </w:rPr>
        <w:t xml:space="preserve">. Compl. </w:t>
      </w:r>
      <w:r w:rsidR="00AD062A" w:rsidRPr="00A242FA">
        <w:rPr>
          <w:rStyle w:val="st"/>
          <w:rFonts w:ascii="Times New Roman" w:hAnsi="Times New Roman" w:cs="Times New Roman"/>
          <w:sz w:val="24"/>
          <w:szCs w:val="24"/>
        </w:rPr>
        <w:t>¶</w:t>
      </w:r>
      <w:r w:rsidR="000450AE">
        <w:rPr>
          <w:rStyle w:val="st"/>
          <w:rFonts w:ascii="Times New Roman" w:hAnsi="Times New Roman" w:cs="Times New Roman"/>
          <w:sz w:val="24"/>
          <w:szCs w:val="24"/>
        </w:rPr>
        <w:t xml:space="preserve"> 24. When securing exclusive rights and privileges to “Anticipatory Repudiation,” OGS complied with all copyright laws. Compl. </w:t>
      </w:r>
      <w:r w:rsidR="000450AE" w:rsidRPr="00A242FA">
        <w:rPr>
          <w:rStyle w:val="st"/>
          <w:rFonts w:ascii="Times New Roman" w:hAnsi="Times New Roman" w:cs="Times New Roman"/>
          <w:sz w:val="24"/>
          <w:szCs w:val="24"/>
        </w:rPr>
        <w:t>¶</w:t>
      </w:r>
      <w:r w:rsidR="000450AE">
        <w:rPr>
          <w:rStyle w:val="st"/>
          <w:rFonts w:ascii="Times New Roman" w:hAnsi="Times New Roman" w:cs="Times New Roman"/>
          <w:sz w:val="24"/>
          <w:szCs w:val="24"/>
        </w:rPr>
        <w:t xml:space="preserve"> 22. OGS received certification of registration dated April 2, 2010 from the Register of Copyrights. To this day OGS remains the owner and author of the copyrighted screenplay. Compl. </w:t>
      </w:r>
      <w:r w:rsidR="000450AE" w:rsidRPr="00A242FA">
        <w:rPr>
          <w:rStyle w:val="st"/>
          <w:rFonts w:ascii="Times New Roman" w:hAnsi="Times New Roman" w:cs="Times New Roman"/>
          <w:sz w:val="24"/>
          <w:szCs w:val="24"/>
        </w:rPr>
        <w:t>¶</w:t>
      </w:r>
      <w:r w:rsidR="000450AE">
        <w:rPr>
          <w:rStyle w:val="st"/>
          <w:rFonts w:ascii="Times New Roman" w:hAnsi="Times New Roman" w:cs="Times New Roman"/>
          <w:sz w:val="24"/>
          <w:szCs w:val="24"/>
        </w:rPr>
        <w:t xml:space="preserve"> 23. </w:t>
      </w:r>
      <w:r w:rsidR="000450AE">
        <w:rPr>
          <w:rStyle w:val="st"/>
          <w:rFonts w:ascii="Times New Roman" w:hAnsi="Times New Roman" w:cs="Times New Roman"/>
          <w:sz w:val="24"/>
          <w:szCs w:val="24"/>
        </w:rPr>
        <w:br/>
        <w:t xml:space="preserve"> </w:t>
      </w:r>
      <w:r w:rsidR="000450AE">
        <w:rPr>
          <w:rStyle w:val="st"/>
          <w:rFonts w:ascii="Times New Roman" w:hAnsi="Times New Roman" w:cs="Times New Roman"/>
          <w:sz w:val="24"/>
          <w:szCs w:val="24"/>
        </w:rPr>
        <w:tab/>
        <w:t>On September 15, 2010</w:t>
      </w:r>
      <w:r w:rsidR="00A651AD">
        <w:rPr>
          <w:rStyle w:val="st"/>
          <w:rFonts w:ascii="Times New Roman" w:hAnsi="Times New Roman" w:cs="Times New Roman"/>
          <w:sz w:val="24"/>
          <w:szCs w:val="24"/>
        </w:rPr>
        <w:t>, OGS notified D</w:t>
      </w:r>
      <w:r w:rsidR="004E6AFC">
        <w:rPr>
          <w:rStyle w:val="st"/>
          <w:rFonts w:ascii="Times New Roman" w:hAnsi="Times New Roman" w:cs="Times New Roman"/>
          <w:sz w:val="24"/>
          <w:szCs w:val="24"/>
        </w:rPr>
        <w:t xml:space="preserve">efendants of their initial and continuous infringement of OGS copyright of the screenplay “Anticipatory Repudiation.” Compl. </w:t>
      </w:r>
      <w:r w:rsidR="004E6AFC" w:rsidRPr="00A242FA">
        <w:rPr>
          <w:rStyle w:val="st"/>
          <w:rFonts w:ascii="Times New Roman" w:hAnsi="Times New Roman" w:cs="Times New Roman"/>
          <w:sz w:val="24"/>
          <w:szCs w:val="24"/>
        </w:rPr>
        <w:t>¶</w:t>
      </w:r>
      <w:r w:rsidR="004E6AFC">
        <w:rPr>
          <w:rStyle w:val="st"/>
          <w:rFonts w:ascii="Times New Roman" w:hAnsi="Times New Roman" w:cs="Times New Roman"/>
          <w:sz w:val="24"/>
          <w:szCs w:val="24"/>
        </w:rPr>
        <w:t xml:space="preserve"> 33. OGS seeks damages to the sum of $86,000, due to lost advertising revenue and lost value of defendant Lime’s fee for the screenplay. Compl. </w:t>
      </w:r>
      <w:r w:rsidR="004E6AFC" w:rsidRPr="00A242FA">
        <w:rPr>
          <w:rStyle w:val="st"/>
          <w:rFonts w:ascii="Times New Roman" w:hAnsi="Times New Roman" w:cs="Times New Roman"/>
          <w:sz w:val="24"/>
          <w:szCs w:val="24"/>
        </w:rPr>
        <w:t>¶</w:t>
      </w:r>
      <w:r w:rsidR="00A651AD">
        <w:rPr>
          <w:rStyle w:val="st"/>
          <w:rFonts w:ascii="Times New Roman" w:hAnsi="Times New Roman" w:cs="Times New Roman"/>
          <w:sz w:val="24"/>
          <w:szCs w:val="24"/>
        </w:rPr>
        <w:t xml:space="preserve"> 30. Unless enjoined, D</w:t>
      </w:r>
      <w:r w:rsidR="004E6AFC">
        <w:rPr>
          <w:rStyle w:val="st"/>
          <w:rFonts w:ascii="Times New Roman" w:hAnsi="Times New Roman" w:cs="Times New Roman"/>
          <w:sz w:val="24"/>
          <w:szCs w:val="24"/>
        </w:rPr>
        <w:t xml:space="preserve">efendants will continue to violate OGS’ copyright of “Anticipatory Repudiation,” established by a work-made-for-hire agreement. </w:t>
      </w:r>
    </w:p>
    <w:p w14:paraId="66FDDDAA" w14:textId="77777777" w:rsidR="004E6AFC" w:rsidRDefault="004E6AFC" w:rsidP="004E6AFC">
      <w:pPr>
        <w:spacing w:line="480" w:lineRule="auto"/>
        <w:jc w:val="center"/>
        <w:rPr>
          <w:rStyle w:val="st"/>
          <w:rFonts w:ascii="Times New Roman" w:hAnsi="Times New Roman" w:cs="Times New Roman"/>
          <w:sz w:val="24"/>
          <w:szCs w:val="24"/>
        </w:rPr>
      </w:pPr>
      <w:r>
        <w:rPr>
          <w:rStyle w:val="st"/>
          <w:rFonts w:ascii="Times New Roman" w:hAnsi="Times New Roman" w:cs="Times New Roman"/>
          <w:b/>
          <w:sz w:val="24"/>
          <w:szCs w:val="24"/>
          <w:u w:val="single"/>
        </w:rPr>
        <w:t>LEGAL STANDARD</w:t>
      </w:r>
    </w:p>
    <w:p w14:paraId="342DBE04" w14:textId="77777777" w:rsidR="004E6AFC" w:rsidRDefault="004E6AFC" w:rsidP="004E6AFC">
      <w:pPr>
        <w:spacing w:line="480" w:lineRule="auto"/>
        <w:rPr>
          <w:rStyle w:val="st"/>
          <w:rFonts w:ascii="Times New Roman" w:hAnsi="Times New Roman" w:cs="Times New Roman"/>
          <w:sz w:val="24"/>
          <w:szCs w:val="24"/>
        </w:rPr>
      </w:pPr>
      <w:r>
        <w:rPr>
          <w:rStyle w:val="st"/>
          <w:rFonts w:ascii="Times New Roman" w:hAnsi="Times New Roman" w:cs="Times New Roman"/>
          <w:sz w:val="24"/>
          <w:szCs w:val="24"/>
        </w:rPr>
        <w:tab/>
        <w:t xml:space="preserve">On a Motion to Dismiss the Court must view all “inferences drawn from the underlying </w:t>
      </w:r>
      <w:r w:rsidR="00803F93">
        <w:rPr>
          <w:rStyle w:val="st"/>
          <w:rFonts w:ascii="Times New Roman" w:hAnsi="Times New Roman" w:cs="Times New Roman"/>
          <w:sz w:val="24"/>
          <w:szCs w:val="24"/>
        </w:rPr>
        <w:t>facts .</w:t>
      </w:r>
      <w:r>
        <w:rPr>
          <w:rStyle w:val="st"/>
          <w:rFonts w:ascii="Times New Roman" w:hAnsi="Times New Roman" w:cs="Times New Roman"/>
          <w:sz w:val="24"/>
          <w:szCs w:val="24"/>
        </w:rPr>
        <w:t xml:space="preserve"> . . in the light most favorable to the party opposing the motion.” </w:t>
      </w:r>
      <w:r>
        <w:rPr>
          <w:rStyle w:val="st"/>
          <w:rFonts w:ascii="Times New Roman" w:hAnsi="Times New Roman" w:cs="Times New Roman"/>
          <w:sz w:val="24"/>
          <w:szCs w:val="24"/>
          <w:u w:val="single"/>
        </w:rPr>
        <w:t>U.S. v. Diebold, Inc.</w:t>
      </w:r>
      <w:r>
        <w:rPr>
          <w:rStyle w:val="st"/>
          <w:rFonts w:ascii="Times New Roman" w:hAnsi="Times New Roman" w:cs="Times New Roman"/>
          <w:sz w:val="24"/>
          <w:szCs w:val="24"/>
        </w:rPr>
        <w:t xml:space="preserve">, 369 U.S. 654, 655 (1962). OGS’ complaint will survive a motion to dismiss under Rule 12(b)(6) by showing “enough facts to state a claim to relief that is plausible on its face.” </w:t>
      </w:r>
      <w:r>
        <w:rPr>
          <w:rStyle w:val="st"/>
          <w:rFonts w:ascii="Times New Roman" w:hAnsi="Times New Roman" w:cs="Times New Roman"/>
          <w:sz w:val="24"/>
          <w:szCs w:val="24"/>
          <w:u w:val="single"/>
        </w:rPr>
        <w:t>Bell Atl. Corp. v. Twombly</w:t>
      </w:r>
      <w:r>
        <w:rPr>
          <w:rStyle w:val="st"/>
          <w:rFonts w:ascii="Times New Roman" w:hAnsi="Times New Roman" w:cs="Times New Roman"/>
          <w:sz w:val="24"/>
          <w:szCs w:val="24"/>
        </w:rPr>
        <w:t xml:space="preserve">, 550 U.S. 544, 547 (2007). </w:t>
      </w:r>
      <w:r w:rsidR="0076245B">
        <w:rPr>
          <w:rStyle w:val="st"/>
          <w:rFonts w:ascii="Times New Roman" w:hAnsi="Times New Roman" w:cs="Times New Roman"/>
          <w:sz w:val="24"/>
          <w:szCs w:val="24"/>
        </w:rPr>
        <w:t xml:space="preserve">The facts show that </w:t>
      </w:r>
      <w:r>
        <w:rPr>
          <w:rStyle w:val="st"/>
          <w:rFonts w:ascii="Times New Roman" w:hAnsi="Times New Roman" w:cs="Times New Roman"/>
          <w:sz w:val="24"/>
          <w:szCs w:val="24"/>
        </w:rPr>
        <w:t>OGS is the author and owner of the work-made-for-hire “Anticipatory Repudiation,” because OGS created a written agreement with Lime that is valid per the</w:t>
      </w:r>
      <w:r w:rsidR="0076245B">
        <w:rPr>
          <w:rStyle w:val="st"/>
          <w:rFonts w:ascii="Times New Roman" w:hAnsi="Times New Roman" w:cs="Times New Roman"/>
          <w:sz w:val="24"/>
          <w:szCs w:val="24"/>
        </w:rPr>
        <w:t xml:space="preserve"> relevant</w:t>
      </w:r>
      <w:r>
        <w:rPr>
          <w:rStyle w:val="st"/>
          <w:rFonts w:ascii="Times New Roman" w:hAnsi="Times New Roman" w:cs="Times New Roman"/>
          <w:sz w:val="24"/>
          <w:szCs w:val="24"/>
        </w:rPr>
        <w:t xml:space="preserve"> provision</w:t>
      </w:r>
      <w:r w:rsidR="0076245B">
        <w:rPr>
          <w:rStyle w:val="st"/>
          <w:rFonts w:ascii="Times New Roman" w:hAnsi="Times New Roman" w:cs="Times New Roman"/>
          <w:sz w:val="24"/>
          <w:szCs w:val="24"/>
        </w:rPr>
        <w:t>s</w:t>
      </w:r>
      <w:r>
        <w:rPr>
          <w:rStyle w:val="st"/>
          <w:rFonts w:ascii="Times New Roman" w:hAnsi="Times New Roman" w:cs="Times New Roman"/>
          <w:sz w:val="24"/>
          <w:szCs w:val="24"/>
        </w:rPr>
        <w:t xml:space="preserve"> </w:t>
      </w:r>
      <w:r w:rsidR="0076245B">
        <w:rPr>
          <w:rStyle w:val="st"/>
          <w:rFonts w:ascii="Times New Roman" w:hAnsi="Times New Roman" w:cs="Times New Roman"/>
          <w:sz w:val="24"/>
          <w:szCs w:val="24"/>
        </w:rPr>
        <w:t xml:space="preserve">in 17 U.S.C. </w:t>
      </w:r>
      <w:r w:rsidR="0076245B" w:rsidRPr="0076245B">
        <w:rPr>
          <w:rFonts w:ascii="Times New Roman" w:hAnsi="Times New Roman" w:cs="Times New Roman"/>
          <w:sz w:val="24"/>
          <w:szCs w:val="24"/>
        </w:rPr>
        <w:t xml:space="preserve">§§ 101. </w:t>
      </w:r>
      <w:r w:rsidR="0076245B">
        <w:rPr>
          <w:rStyle w:val="st"/>
          <w:rFonts w:ascii="Times New Roman" w:hAnsi="Times New Roman" w:cs="Times New Roman"/>
          <w:sz w:val="24"/>
          <w:szCs w:val="24"/>
        </w:rPr>
        <w:t>Therefore, the</w:t>
      </w:r>
      <w:r w:rsidR="00A651AD">
        <w:rPr>
          <w:rStyle w:val="st"/>
          <w:rFonts w:ascii="Times New Roman" w:hAnsi="Times New Roman" w:cs="Times New Roman"/>
          <w:sz w:val="24"/>
          <w:szCs w:val="24"/>
        </w:rPr>
        <w:t xml:space="preserve"> defendant’s motion to dismiss should be denied. </w:t>
      </w:r>
    </w:p>
    <w:p w14:paraId="59DF7193" w14:textId="77777777" w:rsidR="0076245B" w:rsidRDefault="0076245B" w:rsidP="0076245B">
      <w:pPr>
        <w:spacing w:line="480" w:lineRule="auto"/>
        <w:jc w:val="center"/>
        <w:rPr>
          <w:rStyle w:val="st"/>
          <w:rFonts w:ascii="Times New Roman" w:hAnsi="Times New Roman" w:cs="Times New Roman"/>
          <w:b/>
          <w:sz w:val="24"/>
          <w:szCs w:val="24"/>
          <w:u w:val="single"/>
        </w:rPr>
      </w:pPr>
      <w:r>
        <w:rPr>
          <w:rStyle w:val="st"/>
          <w:rFonts w:ascii="Times New Roman" w:hAnsi="Times New Roman" w:cs="Times New Roman"/>
          <w:b/>
          <w:sz w:val="24"/>
          <w:szCs w:val="24"/>
          <w:u w:val="single"/>
        </w:rPr>
        <w:lastRenderedPageBreak/>
        <w:t>ARGUMENT</w:t>
      </w:r>
    </w:p>
    <w:p w14:paraId="6C14F13C" w14:textId="77777777" w:rsidR="0076245B" w:rsidRDefault="0076245B" w:rsidP="0076245B">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b/>
          <w:sz w:val="24"/>
          <w:szCs w:val="24"/>
        </w:rPr>
        <w:t xml:space="preserve">17 U.S.C. </w:t>
      </w:r>
      <w:r w:rsidRPr="00247026">
        <w:rPr>
          <w:rFonts w:ascii="Times New Roman" w:hAnsi="Times New Roman" w:cs="Times New Roman"/>
          <w:b/>
          <w:sz w:val="24"/>
          <w:szCs w:val="24"/>
        </w:rPr>
        <w:t>§§</w:t>
      </w:r>
      <w:r>
        <w:rPr>
          <w:rFonts w:ascii="Times New Roman" w:hAnsi="Times New Roman" w:cs="Times New Roman"/>
          <w:b/>
          <w:sz w:val="24"/>
          <w:szCs w:val="24"/>
        </w:rPr>
        <w:t xml:space="preserve"> 101 ENFORCES OGS’ COPYRIGHT OF “ANTICIPATORY REPUDIATION” THROUGH ITS WORK MADE FOR HIRE PROVISION.</w:t>
      </w:r>
    </w:p>
    <w:p w14:paraId="7A778D05" w14:textId="77777777" w:rsidR="0076245B" w:rsidRDefault="0076245B" w:rsidP="0076245B">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r>
      <w:r w:rsidRPr="0076245B">
        <w:rPr>
          <w:rFonts w:ascii="Times New Roman" w:hAnsi="Times New Roman" w:cs="Times New Roman"/>
          <w:sz w:val="24"/>
          <w:szCs w:val="24"/>
        </w:rPr>
        <w:t xml:space="preserve">A work-made-for-hire agreement under 17 U.S.C. 101 makes the commissioner the owner and author of the work. </w:t>
      </w:r>
      <w:r>
        <w:rPr>
          <w:rFonts w:ascii="Times New Roman" w:hAnsi="Times New Roman" w:cs="Times New Roman"/>
          <w:sz w:val="24"/>
          <w:szCs w:val="24"/>
        </w:rPr>
        <w:t xml:space="preserve">17 U.S.C. 101 defines a work-made-for-hire agreement as: </w:t>
      </w:r>
    </w:p>
    <w:p w14:paraId="5769ED54" w14:textId="77777777" w:rsidR="0076245B" w:rsidRDefault="0076245B" w:rsidP="0076245B">
      <w:pPr>
        <w:pStyle w:val="ListParagraph"/>
        <w:spacing w:line="240" w:lineRule="auto"/>
        <w:ind w:right="720"/>
        <w:rPr>
          <w:rFonts w:ascii="Times New Roman" w:hAnsi="Times New Roman" w:cs="Times New Roman"/>
          <w:sz w:val="24"/>
          <w:szCs w:val="24"/>
        </w:rPr>
      </w:pPr>
      <w:r>
        <w:rPr>
          <w:rFonts w:ascii="Times New Roman" w:hAnsi="Times New Roman" w:cs="Times New Roman"/>
          <w:sz w:val="24"/>
          <w:szCs w:val="24"/>
        </w:rPr>
        <w:t xml:space="preserve"> 2. A work specially ordered or commissioned for use as a contribution to a collective work, as a part of a motion picture, or other audiovisual work, as a translation, as a supplementary work, as a compilation, as an instructional text, as a test, as answer material to a test, or as an atlas, if the parties expressly agree in a written instrument signed by them that the work shall be considered a work made for hire.</w:t>
      </w:r>
    </w:p>
    <w:p w14:paraId="15C29ABE" w14:textId="77777777" w:rsidR="0076245B" w:rsidRDefault="0076245B" w:rsidP="0076245B">
      <w:pPr>
        <w:pStyle w:val="ListParagraph"/>
        <w:spacing w:line="240" w:lineRule="auto"/>
        <w:ind w:right="720"/>
        <w:rPr>
          <w:rFonts w:ascii="Times New Roman" w:hAnsi="Times New Roman" w:cs="Times New Roman"/>
          <w:sz w:val="24"/>
          <w:szCs w:val="24"/>
        </w:rPr>
      </w:pPr>
    </w:p>
    <w:p w14:paraId="65B71BBA" w14:textId="77777777" w:rsidR="0076245B" w:rsidRDefault="0076245B" w:rsidP="0076245B">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The plain meaning of the statute, supported by the legislative history, application of the canons of construction, and policy considerations support the argument that the required written agreement for the work-for-hire “Anticipatory Repudiation” is valid, and defendants are therefore infringing on OGS’ copyright of “Anticipatory Repudiation.” </w:t>
      </w:r>
    </w:p>
    <w:p w14:paraId="3CAF8AF5" w14:textId="77777777" w:rsidR="0076245B" w:rsidRDefault="0076245B" w:rsidP="0076245B">
      <w:pPr>
        <w:pStyle w:val="ListParagraph"/>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t xml:space="preserve">OGS Satisfied the Unambiguous Terms of the Statute When Making a Work Made For Hire Agreement with the Defendant. </w:t>
      </w:r>
    </w:p>
    <w:p w14:paraId="3572B16C" w14:textId="77777777" w:rsidR="0007541B" w:rsidRDefault="0076245B" w:rsidP="0076245B">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When interpreting a statute, the Court will first look to its “ordinary, contemporary, common meaning, absent an indication Congress intended them to bear some different import.” </w:t>
      </w:r>
      <w:r>
        <w:rPr>
          <w:rFonts w:ascii="Times New Roman" w:hAnsi="Times New Roman" w:cs="Times New Roman"/>
          <w:sz w:val="24"/>
          <w:szCs w:val="24"/>
          <w:u w:val="single"/>
        </w:rPr>
        <w:t>Williams v. Taylor</w:t>
      </w:r>
      <w:r>
        <w:rPr>
          <w:rFonts w:ascii="Times New Roman" w:hAnsi="Times New Roman" w:cs="Times New Roman"/>
          <w:sz w:val="24"/>
          <w:szCs w:val="24"/>
        </w:rPr>
        <w:t xml:space="preserve">, 529 U.S. 420, 431 (2000). </w:t>
      </w:r>
      <w:r w:rsidR="002409EA">
        <w:rPr>
          <w:rFonts w:ascii="Times New Roman" w:hAnsi="Times New Roman" w:cs="Times New Roman"/>
          <w:sz w:val="24"/>
          <w:szCs w:val="24"/>
        </w:rPr>
        <w:t xml:space="preserve">The Court assumes that the “ordinary meaning of [the] language accurately expresses the legislative purpose” of the statute. </w:t>
      </w:r>
      <w:r w:rsidR="002409EA">
        <w:rPr>
          <w:rFonts w:ascii="Times New Roman" w:hAnsi="Times New Roman" w:cs="Times New Roman"/>
          <w:sz w:val="24"/>
          <w:szCs w:val="24"/>
          <w:u w:val="single"/>
        </w:rPr>
        <w:t>Park ‘N Fly, Inc. v. Dollar Park &amp; Fly, Inc.</w:t>
      </w:r>
      <w:r w:rsidR="002409EA">
        <w:rPr>
          <w:rFonts w:ascii="Times New Roman" w:hAnsi="Times New Roman" w:cs="Times New Roman"/>
          <w:sz w:val="24"/>
          <w:szCs w:val="24"/>
        </w:rPr>
        <w:t xml:space="preserve">, 469 U.S. 189, 194 (1985). To this purpose, if the statute is unambiguous in its meaning, the Court must base its interpretation on its words and nothing else. </w:t>
      </w:r>
      <w:r w:rsidR="002409EA">
        <w:rPr>
          <w:rFonts w:ascii="Times New Roman" w:hAnsi="Times New Roman" w:cs="Times New Roman"/>
          <w:sz w:val="24"/>
          <w:szCs w:val="24"/>
          <w:u w:val="single"/>
        </w:rPr>
        <w:t>Greenwood v. U.S.</w:t>
      </w:r>
      <w:r w:rsidR="002409EA">
        <w:rPr>
          <w:rFonts w:ascii="Times New Roman" w:hAnsi="Times New Roman" w:cs="Times New Roman"/>
          <w:sz w:val="24"/>
          <w:szCs w:val="24"/>
        </w:rPr>
        <w:t xml:space="preserve">, 350 U.S. 366, 374 (1956). </w:t>
      </w:r>
      <w:r w:rsidR="002409EA">
        <w:rPr>
          <w:rFonts w:ascii="Times New Roman" w:hAnsi="Times New Roman" w:cs="Times New Roman"/>
          <w:sz w:val="24"/>
          <w:szCs w:val="24"/>
        </w:rPr>
        <w:br/>
        <w:t xml:space="preserve"> </w:t>
      </w:r>
      <w:r w:rsidR="002409EA">
        <w:rPr>
          <w:rFonts w:ascii="Times New Roman" w:hAnsi="Times New Roman" w:cs="Times New Roman"/>
          <w:sz w:val="24"/>
          <w:szCs w:val="24"/>
        </w:rPr>
        <w:tab/>
      </w:r>
    </w:p>
    <w:p w14:paraId="0C0D3C9A" w14:textId="77777777" w:rsidR="0016131E" w:rsidRDefault="0007541B" w:rsidP="0076245B">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lastRenderedPageBreak/>
        <w:tab/>
      </w:r>
      <w:r w:rsidR="002409EA">
        <w:rPr>
          <w:rFonts w:ascii="Times New Roman" w:hAnsi="Times New Roman" w:cs="Times New Roman"/>
          <w:sz w:val="24"/>
          <w:szCs w:val="24"/>
        </w:rPr>
        <w:t xml:space="preserve">The statute holds that a work-made-for-hire agreement is valid “if the parties expressly agree in a written instrument signed by them that the work shall be considered a work made for </w:t>
      </w:r>
      <w:r w:rsidR="002409EA" w:rsidRPr="002409EA">
        <w:rPr>
          <w:rFonts w:ascii="Times New Roman" w:hAnsi="Times New Roman" w:cs="Times New Roman"/>
          <w:sz w:val="24"/>
          <w:szCs w:val="24"/>
        </w:rPr>
        <w:t>hire.” 17 U.S.C.A. §</w:t>
      </w:r>
      <w:r w:rsidR="002409EA">
        <w:rPr>
          <w:rFonts w:ascii="Times New Roman" w:hAnsi="Times New Roman" w:cs="Times New Roman"/>
          <w:sz w:val="24"/>
          <w:szCs w:val="24"/>
        </w:rPr>
        <w:t xml:space="preserve"> 101 (2010). When applying the plain meaning approach to 17 U.S.C. </w:t>
      </w:r>
      <w:r w:rsidR="002409EA" w:rsidRPr="002409EA">
        <w:rPr>
          <w:rFonts w:ascii="Times New Roman" w:hAnsi="Times New Roman" w:cs="Times New Roman"/>
          <w:sz w:val="24"/>
          <w:szCs w:val="24"/>
        </w:rPr>
        <w:t>§</w:t>
      </w:r>
      <w:r w:rsidR="002409EA">
        <w:rPr>
          <w:rFonts w:ascii="Times New Roman" w:hAnsi="Times New Roman" w:cs="Times New Roman"/>
          <w:sz w:val="24"/>
          <w:szCs w:val="24"/>
        </w:rPr>
        <w:t xml:space="preserve"> 101, the Supreme Court held that “Section 101 plainly creates two distinct ways in which a work can be deemed for hire,” one of them being “for those specially ordered or commissioned works which fall within one of the enumerated categories and are the subject of a written agreement.” </w:t>
      </w:r>
      <w:r w:rsidR="0016131E">
        <w:rPr>
          <w:rFonts w:ascii="Times New Roman" w:hAnsi="Times New Roman" w:cs="Times New Roman"/>
          <w:sz w:val="24"/>
          <w:szCs w:val="24"/>
          <w:u w:val="single"/>
        </w:rPr>
        <w:t>Cmty. for Creative Non-Violence v. Reid</w:t>
      </w:r>
      <w:r w:rsidR="0016131E">
        <w:rPr>
          <w:rFonts w:ascii="Times New Roman" w:hAnsi="Times New Roman" w:cs="Times New Roman"/>
          <w:sz w:val="24"/>
          <w:szCs w:val="24"/>
        </w:rPr>
        <w:t>, 490 U.S. 730, 738</w:t>
      </w:r>
      <w:r w:rsidR="00F55684">
        <w:rPr>
          <w:rFonts w:ascii="Times New Roman" w:hAnsi="Times New Roman" w:cs="Times New Roman"/>
          <w:sz w:val="24"/>
          <w:szCs w:val="24"/>
        </w:rPr>
        <w:t xml:space="preserve"> (1989)</w:t>
      </w:r>
      <w:r w:rsidR="0016131E">
        <w:rPr>
          <w:rFonts w:ascii="Times New Roman" w:hAnsi="Times New Roman" w:cs="Times New Roman"/>
          <w:sz w:val="24"/>
          <w:szCs w:val="24"/>
        </w:rPr>
        <w:t xml:space="preserve">.  The petitioners’ claim in </w:t>
      </w:r>
      <w:r w:rsidR="0016131E" w:rsidRPr="004A0689">
        <w:rPr>
          <w:rFonts w:ascii="Times New Roman" w:hAnsi="Times New Roman" w:cs="Times New Roman"/>
          <w:sz w:val="24"/>
          <w:szCs w:val="24"/>
          <w:u w:val="single"/>
        </w:rPr>
        <w:t>Community</w:t>
      </w:r>
      <w:r w:rsidR="0016131E">
        <w:rPr>
          <w:rFonts w:ascii="Times New Roman" w:hAnsi="Times New Roman" w:cs="Times New Roman"/>
          <w:sz w:val="24"/>
          <w:szCs w:val="24"/>
        </w:rPr>
        <w:t xml:space="preserve"> did not meet the terms of the statute, because it neither “fit within any of the nine categories” nor did the parties have a “written agreement.” </w:t>
      </w:r>
      <w:r w:rsidR="0016131E">
        <w:rPr>
          <w:rFonts w:ascii="Times New Roman" w:hAnsi="Times New Roman" w:cs="Times New Roman"/>
          <w:sz w:val="24"/>
          <w:szCs w:val="24"/>
          <w:u w:val="single"/>
        </w:rPr>
        <w:t>Id</w:t>
      </w:r>
      <w:r w:rsidR="002524C6">
        <w:rPr>
          <w:rFonts w:ascii="Times New Roman" w:hAnsi="Times New Roman" w:cs="Times New Roman"/>
          <w:sz w:val="24"/>
          <w:szCs w:val="24"/>
          <w:u w:val="single"/>
        </w:rPr>
        <w:t>.</w:t>
      </w:r>
      <w:r w:rsidR="0016131E">
        <w:rPr>
          <w:rFonts w:ascii="Times New Roman" w:hAnsi="Times New Roman" w:cs="Times New Roman"/>
          <w:sz w:val="24"/>
          <w:szCs w:val="24"/>
        </w:rPr>
        <w:t xml:space="preserve"> at 738. The Supreme Court placed importance on the existence of a written agreement, not on the timing of its creation. </w:t>
      </w:r>
      <w:r w:rsidR="0016131E">
        <w:rPr>
          <w:rFonts w:ascii="Times New Roman" w:hAnsi="Times New Roman" w:cs="Times New Roman"/>
          <w:sz w:val="24"/>
          <w:szCs w:val="24"/>
          <w:u w:val="single"/>
        </w:rPr>
        <w:t>Id</w:t>
      </w:r>
      <w:r w:rsidR="002524C6">
        <w:rPr>
          <w:rFonts w:ascii="Times New Roman" w:hAnsi="Times New Roman" w:cs="Times New Roman"/>
          <w:sz w:val="24"/>
          <w:szCs w:val="24"/>
          <w:u w:val="single"/>
        </w:rPr>
        <w:t>.</w:t>
      </w:r>
      <w:r w:rsidR="0016131E">
        <w:rPr>
          <w:rFonts w:ascii="Times New Roman" w:hAnsi="Times New Roman" w:cs="Times New Roman"/>
          <w:sz w:val="24"/>
          <w:szCs w:val="24"/>
        </w:rPr>
        <w:t xml:space="preserve"> at 738. </w:t>
      </w:r>
      <w:r>
        <w:rPr>
          <w:rFonts w:ascii="Times New Roman" w:hAnsi="Times New Roman" w:cs="Times New Roman"/>
          <w:sz w:val="24"/>
          <w:szCs w:val="24"/>
        </w:rPr>
        <w:tab/>
      </w:r>
      <w:r w:rsidR="0016131E">
        <w:rPr>
          <w:rFonts w:ascii="Times New Roman" w:hAnsi="Times New Roman" w:cs="Times New Roman"/>
          <w:sz w:val="24"/>
          <w:szCs w:val="24"/>
        </w:rPr>
        <w:t xml:space="preserve">Similarly, in </w:t>
      </w:r>
      <w:r w:rsidR="0016131E" w:rsidRPr="004A0689">
        <w:rPr>
          <w:rFonts w:ascii="Times New Roman" w:hAnsi="Times New Roman" w:cs="Times New Roman"/>
          <w:sz w:val="24"/>
          <w:szCs w:val="24"/>
          <w:u w:val="single"/>
        </w:rPr>
        <w:t>Imperial</w:t>
      </w:r>
      <w:r w:rsidR="0016131E">
        <w:rPr>
          <w:rFonts w:ascii="Times New Roman" w:hAnsi="Times New Roman" w:cs="Times New Roman"/>
          <w:sz w:val="24"/>
          <w:szCs w:val="24"/>
        </w:rPr>
        <w:t xml:space="preserve"> the Court held that: </w:t>
      </w:r>
    </w:p>
    <w:p w14:paraId="72DA948B" w14:textId="77777777" w:rsidR="0016131E" w:rsidRDefault="0016131E" w:rsidP="0016131E">
      <w:pPr>
        <w:pStyle w:val="ListParagraph"/>
        <w:spacing w:line="240" w:lineRule="auto"/>
        <w:ind w:right="720"/>
        <w:rPr>
          <w:rFonts w:ascii="Times New Roman" w:hAnsi="Times New Roman" w:cs="Times New Roman"/>
          <w:sz w:val="24"/>
          <w:szCs w:val="24"/>
        </w:rPr>
      </w:pPr>
      <w:r>
        <w:rPr>
          <w:rFonts w:ascii="Times New Roman" w:hAnsi="Times New Roman" w:cs="Times New Roman"/>
          <w:sz w:val="24"/>
          <w:szCs w:val="24"/>
        </w:rPr>
        <w:t xml:space="preserve">. . . with respect to the timing of an assignment or transfer agreement, the Court notes that, as with a work-made-for-hire agreement, the Copyright Act does not specify a time period for the execution of the assignment document. The Eleventh Circuit has held, however, that a ‘copyright owner’s later execution of a writing which confirms an earlier agreement validates transfer ab initio.’ </w:t>
      </w:r>
    </w:p>
    <w:p w14:paraId="468185F7" w14:textId="77777777" w:rsidR="00A12AD5" w:rsidRDefault="00A12AD5" w:rsidP="0016131E">
      <w:pPr>
        <w:pStyle w:val="ListParagraph"/>
        <w:spacing w:line="240" w:lineRule="auto"/>
        <w:ind w:right="720"/>
        <w:rPr>
          <w:rFonts w:ascii="Times New Roman" w:hAnsi="Times New Roman" w:cs="Times New Roman"/>
          <w:sz w:val="24"/>
          <w:szCs w:val="24"/>
        </w:rPr>
      </w:pPr>
    </w:p>
    <w:p w14:paraId="71FD3D1A" w14:textId="77777777" w:rsidR="00A12AD5" w:rsidRDefault="00A12AD5" w:rsidP="00F55684">
      <w:pPr>
        <w:pStyle w:val="ListParagraph"/>
        <w:spacing w:line="480" w:lineRule="auto"/>
        <w:ind w:left="0" w:right="720"/>
        <w:rPr>
          <w:rFonts w:ascii="Times New Roman" w:hAnsi="Times New Roman" w:cs="Times New Roman"/>
          <w:sz w:val="24"/>
          <w:szCs w:val="24"/>
        </w:rPr>
      </w:pPr>
      <w:r>
        <w:rPr>
          <w:rFonts w:ascii="Times New Roman" w:hAnsi="Times New Roman" w:cs="Times New Roman"/>
          <w:sz w:val="24"/>
          <w:szCs w:val="24"/>
          <w:u w:val="single"/>
        </w:rPr>
        <w:t>Imperial Residential Design, Inc. v. The Palms Dev. Group, Inc.</w:t>
      </w:r>
      <w:r>
        <w:rPr>
          <w:rFonts w:ascii="Times New Roman" w:hAnsi="Times New Roman" w:cs="Times New Roman"/>
          <w:sz w:val="24"/>
          <w:szCs w:val="24"/>
        </w:rPr>
        <w:t>, 70 F.3d 96, 99 (</w:t>
      </w:r>
      <w:r w:rsidR="00F55684">
        <w:rPr>
          <w:rFonts w:ascii="Times New Roman" w:hAnsi="Times New Roman" w:cs="Times New Roman"/>
          <w:sz w:val="24"/>
          <w:szCs w:val="24"/>
        </w:rPr>
        <w:t>11th Cir.</w:t>
      </w:r>
      <w:r w:rsidR="00F55684">
        <w:rPr>
          <w:rFonts w:ascii="Times New Roman" w:hAnsi="Times New Roman" w:cs="Times New Roman"/>
          <w:sz w:val="24"/>
          <w:szCs w:val="24"/>
          <w:vertAlign w:val="superscript"/>
        </w:rPr>
        <w:t>.</w:t>
      </w:r>
      <w:r>
        <w:rPr>
          <w:rFonts w:ascii="Times New Roman" w:hAnsi="Times New Roman" w:cs="Times New Roman"/>
          <w:sz w:val="24"/>
          <w:szCs w:val="24"/>
        </w:rPr>
        <w:t xml:space="preserve">1995). </w:t>
      </w:r>
    </w:p>
    <w:p w14:paraId="1B1E0FA0" w14:textId="77777777" w:rsidR="00A12AD5" w:rsidRDefault="00A12AD5" w:rsidP="0026305F">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Lime and Nelson expressly agreed in a written document that OGS would be the author of the work-made-for-hire “Anticipatory Repudiation.” As a result, OGS’ work-made-for-hire agreem</w:t>
      </w:r>
      <w:r w:rsidR="0034308D">
        <w:rPr>
          <w:rFonts w:ascii="Times New Roman" w:hAnsi="Times New Roman" w:cs="Times New Roman"/>
          <w:sz w:val="24"/>
          <w:szCs w:val="24"/>
        </w:rPr>
        <w:t xml:space="preserve">ent with Lime is valid, because </w:t>
      </w:r>
      <w:r>
        <w:rPr>
          <w:rFonts w:ascii="Times New Roman" w:hAnsi="Times New Roman" w:cs="Times New Roman"/>
          <w:sz w:val="24"/>
          <w:szCs w:val="24"/>
        </w:rPr>
        <w:t>OGS abided by a plain meaning interpretation of the written agreement requirement</w:t>
      </w:r>
      <w:r w:rsidR="0034308D">
        <w:rPr>
          <w:rFonts w:ascii="Times New Roman" w:hAnsi="Times New Roman" w:cs="Times New Roman"/>
          <w:sz w:val="24"/>
          <w:szCs w:val="24"/>
        </w:rPr>
        <w:t xml:space="preserve"> when creating it</w:t>
      </w:r>
      <w:r>
        <w:rPr>
          <w:rFonts w:ascii="Times New Roman" w:hAnsi="Times New Roman" w:cs="Times New Roman"/>
          <w:sz w:val="24"/>
          <w:szCs w:val="24"/>
        </w:rPr>
        <w:t>.</w:t>
      </w:r>
      <w:r w:rsidR="0007541B">
        <w:rPr>
          <w:rFonts w:ascii="Times New Roman" w:hAnsi="Times New Roman" w:cs="Times New Roman"/>
          <w:sz w:val="24"/>
          <w:szCs w:val="24"/>
        </w:rPr>
        <w:t xml:space="preserve"> </w:t>
      </w:r>
      <w:r w:rsidR="00AE3FA9">
        <w:rPr>
          <w:rFonts w:ascii="Times New Roman" w:hAnsi="Times New Roman" w:cs="Times New Roman"/>
          <w:sz w:val="24"/>
          <w:szCs w:val="24"/>
        </w:rPr>
        <w:t xml:space="preserve">A plain interpretation of the statute preserves both the intent of Congress and the intent of the parties involved in creating the work-made-for-hire agreement. </w:t>
      </w:r>
    </w:p>
    <w:p w14:paraId="6B4A264B" w14:textId="77777777" w:rsidR="00F55684" w:rsidRDefault="00F55684" w:rsidP="0026305F">
      <w:pPr>
        <w:pStyle w:val="ListParagraph"/>
        <w:spacing w:line="480" w:lineRule="auto"/>
        <w:ind w:left="0"/>
        <w:rPr>
          <w:rFonts w:ascii="Times New Roman" w:hAnsi="Times New Roman" w:cs="Times New Roman"/>
          <w:sz w:val="24"/>
          <w:szCs w:val="24"/>
        </w:rPr>
      </w:pPr>
    </w:p>
    <w:p w14:paraId="16ABFBCB" w14:textId="77777777" w:rsidR="00F55684" w:rsidRDefault="00F55684" w:rsidP="0026305F">
      <w:pPr>
        <w:pStyle w:val="ListParagraph"/>
        <w:spacing w:line="480" w:lineRule="auto"/>
        <w:ind w:left="0"/>
        <w:rPr>
          <w:rFonts w:ascii="Times New Roman" w:hAnsi="Times New Roman" w:cs="Times New Roman"/>
          <w:sz w:val="24"/>
          <w:szCs w:val="24"/>
        </w:rPr>
      </w:pPr>
    </w:p>
    <w:p w14:paraId="5EE747A0" w14:textId="77777777" w:rsidR="00A12AD5" w:rsidRPr="00A12AD5" w:rsidRDefault="00A12AD5" w:rsidP="0026305F">
      <w:pPr>
        <w:pStyle w:val="ListParagraph"/>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t xml:space="preserve">The Legislative History Supports OGS’ Adherence to the Language of the Statute in Securing a Copyright Through a Work Made for Hire Agreement. </w:t>
      </w:r>
      <w:r>
        <w:rPr>
          <w:rFonts w:ascii="Times New Roman" w:hAnsi="Times New Roman" w:cs="Times New Roman"/>
          <w:sz w:val="24"/>
          <w:szCs w:val="24"/>
        </w:rPr>
        <w:t xml:space="preserve"> </w:t>
      </w:r>
    </w:p>
    <w:p w14:paraId="69B3BDC2" w14:textId="77777777" w:rsidR="005F2092" w:rsidRPr="00383C4E" w:rsidRDefault="00520A6B" w:rsidP="0026305F">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The Copyright Act was the product of two decades of deliberation, revisions, and studies.</w:t>
      </w:r>
      <w:r w:rsidR="002C2C87">
        <w:rPr>
          <w:rFonts w:ascii="Times New Roman" w:hAnsi="Times New Roman" w:cs="Times New Roman"/>
          <w:sz w:val="24"/>
          <w:szCs w:val="24"/>
        </w:rPr>
        <w:t xml:space="preserve"> </w:t>
      </w:r>
      <w:r w:rsidR="002C2C87" w:rsidRPr="00D50D4D">
        <w:rPr>
          <w:rFonts w:ascii="Times New Roman" w:hAnsi="Times New Roman" w:cs="Times New Roman"/>
          <w:sz w:val="24"/>
          <w:szCs w:val="24"/>
          <w:u w:val="single"/>
        </w:rPr>
        <w:t xml:space="preserve">Cmty. </w:t>
      </w:r>
      <w:proofErr w:type="gramStart"/>
      <w:r w:rsidR="002C2C87" w:rsidRPr="00D50D4D">
        <w:rPr>
          <w:rFonts w:ascii="Times New Roman" w:hAnsi="Times New Roman" w:cs="Times New Roman"/>
          <w:sz w:val="24"/>
          <w:szCs w:val="24"/>
          <w:u w:val="single"/>
        </w:rPr>
        <w:t>for</w:t>
      </w:r>
      <w:proofErr w:type="gramEnd"/>
      <w:r w:rsidR="002C2C87" w:rsidRPr="00D50D4D">
        <w:rPr>
          <w:rFonts w:ascii="Times New Roman" w:hAnsi="Times New Roman" w:cs="Times New Roman"/>
          <w:sz w:val="24"/>
          <w:szCs w:val="24"/>
          <w:u w:val="single"/>
        </w:rPr>
        <w:t xml:space="preserve"> Creative Non-Violence</w:t>
      </w:r>
      <w:r w:rsidR="00F55684">
        <w:rPr>
          <w:rFonts w:ascii="Times New Roman" w:hAnsi="Times New Roman" w:cs="Times New Roman"/>
          <w:sz w:val="24"/>
          <w:szCs w:val="24"/>
        </w:rPr>
        <w:t>, 490 U.S. at</w:t>
      </w:r>
      <w:r w:rsidR="002C2C87">
        <w:rPr>
          <w:rFonts w:ascii="Times New Roman" w:hAnsi="Times New Roman" w:cs="Times New Roman"/>
          <w:sz w:val="24"/>
          <w:szCs w:val="24"/>
        </w:rPr>
        <w:t xml:space="preserve"> 743. Congress and affected parties conducted hard fought deliberations to forge a “carefully balanced compromise” on the scope of works-made-for-hire, agreeing on nine categories for commissioned works</w:t>
      </w:r>
      <w:r w:rsidR="0034308D">
        <w:rPr>
          <w:rFonts w:ascii="Times New Roman" w:hAnsi="Times New Roman" w:cs="Times New Roman"/>
          <w:sz w:val="24"/>
          <w:szCs w:val="24"/>
        </w:rPr>
        <w:t xml:space="preserve"> and the requirement of a written agreement</w:t>
      </w:r>
      <w:r w:rsidR="002C2C87">
        <w:rPr>
          <w:rFonts w:ascii="Times New Roman" w:hAnsi="Times New Roman" w:cs="Times New Roman"/>
          <w:sz w:val="24"/>
          <w:szCs w:val="24"/>
        </w:rPr>
        <w:t xml:space="preserve">. </w:t>
      </w:r>
      <w:r w:rsidR="002C2C87">
        <w:rPr>
          <w:rFonts w:ascii="Times New Roman" w:hAnsi="Times New Roman" w:cs="Times New Roman"/>
          <w:sz w:val="24"/>
          <w:szCs w:val="24"/>
          <w:u w:val="single"/>
        </w:rPr>
        <w:t>H.R. Rep. No. 94-1476</w:t>
      </w:r>
      <w:r w:rsidR="002C2C87">
        <w:rPr>
          <w:rFonts w:ascii="Times New Roman" w:hAnsi="Times New Roman" w:cs="Times New Roman"/>
          <w:sz w:val="24"/>
          <w:szCs w:val="24"/>
        </w:rPr>
        <w:t xml:space="preserve"> at 121 (1976), </w:t>
      </w:r>
      <w:r w:rsidR="002C2C87">
        <w:rPr>
          <w:rFonts w:ascii="Times New Roman" w:hAnsi="Times New Roman" w:cs="Times New Roman"/>
          <w:i/>
          <w:sz w:val="24"/>
          <w:szCs w:val="24"/>
        </w:rPr>
        <w:t xml:space="preserve">reprinted in </w:t>
      </w:r>
      <w:r w:rsidR="002C2C87">
        <w:rPr>
          <w:rFonts w:ascii="Times New Roman" w:hAnsi="Times New Roman" w:cs="Times New Roman"/>
          <w:sz w:val="24"/>
          <w:szCs w:val="24"/>
        </w:rPr>
        <w:t>1976 U.S.C.C.A.N. 5659, 5736. In b</w:t>
      </w:r>
      <w:r w:rsidR="004A0689">
        <w:rPr>
          <w:rFonts w:ascii="Times New Roman" w:hAnsi="Times New Roman" w:cs="Times New Roman"/>
          <w:sz w:val="24"/>
          <w:szCs w:val="24"/>
        </w:rPr>
        <w:t>oth senses, the extent of Congress’ deliberation</w:t>
      </w:r>
      <w:r w:rsidR="0034308D">
        <w:rPr>
          <w:rFonts w:ascii="Times New Roman" w:hAnsi="Times New Roman" w:cs="Times New Roman"/>
          <w:sz w:val="24"/>
          <w:szCs w:val="24"/>
        </w:rPr>
        <w:t xml:space="preserve"> </w:t>
      </w:r>
      <w:r w:rsidR="002C2C87">
        <w:rPr>
          <w:rFonts w:ascii="Times New Roman" w:hAnsi="Times New Roman" w:cs="Times New Roman"/>
          <w:sz w:val="24"/>
          <w:szCs w:val="24"/>
        </w:rPr>
        <w:t xml:space="preserve">indicates </w:t>
      </w:r>
      <w:r w:rsidR="004A0689">
        <w:rPr>
          <w:rFonts w:ascii="Times New Roman" w:hAnsi="Times New Roman" w:cs="Times New Roman"/>
          <w:sz w:val="24"/>
          <w:szCs w:val="24"/>
        </w:rPr>
        <w:t>its intention</w:t>
      </w:r>
      <w:r w:rsidR="00C45A4D">
        <w:rPr>
          <w:rFonts w:ascii="Times New Roman" w:hAnsi="Times New Roman" w:cs="Times New Roman"/>
          <w:sz w:val="24"/>
          <w:szCs w:val="24"/>
        </w:rPr>
        <w:t xml:space="preserve"> for flexibility in the making of valid written agreements for work</w:t>
      </w:r>
      <w:r w:rsidR="0034308D">
        <w:rPr>
          <w:rFonts w:ascii="Times New Roman" w:hAnsi="Times New Roman" w:cs="Times New Roman"/>
          <w:sz w:val="24"/>
          <w:szCs w:val="24"/>
        </w:rPr>
        <w:t>s</w:t>
      </w:r>
      <w:r w:rsidR="00C45A4D">
        <w:rPr>
          <w:rFonts w:ascii="Times New Roman" w:hAnsi="Times New Roman" w:cs="Times New Roman"/>
          <w:sz w:val="24"/>
          <w:szCs w:val="24"/>
        </w:rPr>
        <w:t>-made-for-hire, and a stance against limitations on its timing</w:t>
      </w:r>
      <w:r w:rsidR="002C2C87">
        <w:rPr>
          <w:rFonts w:ascii="Times New Roman" w:hAnsi="Times New Roman" w:cs="Times New Roman"/>
          <w:sz w:val="24"/>
          <w:szCs w:val="24"/>
        </w:rPr>
        <w:t xml:space="preserve">. </w:t>
      </w:r>
      <w:r w:rsidR="002C2C87" w:rsidRPr="00D50D4D">
        <w:rPr>
          <w:rFonts w:ascii="Times New Roman" w:hAnsi="Times New Roman" w:cs="Times New Roman"/>
          <w:sz w:val="24"/>
          <w:szCs w:val="24"/>
          <w:u w:val="single"/>
        </w:rPr>
        <w:t xml:space="preserve">Cmty. </w:t>
      </w:r>
      <w:proofErr w:type="gramStart"/>
      <w:r w:rsidR="002C2C87" w:rsidRPr="00D50D4D">
        <w:rPr>
          <w:rFonts w:ascii="Times New Roman" w:hAnsi="Times New Roman" w:cs="Times New Roman"/>
          <w:sz w:val="24"/>
          <w:szCs w:val="24"/>
          <w:u w:val="single"/>
        </w:rPr>
        <w:t>for</w:t>
      </w:r>
      <w:proofErr w:type="gramEnd"/>
      <w:r w:rsidR="002C2C87" w:rsidRPr="00D50D4D">
        <w:rPr>
          <w:rFonts w:ascii="Times New Roman" w:hAnsi="Times New Roman" w:cs="Times New Roman"/>
          <w:sz w:val="24"/>
          <w:szCs w:val="24"/>
          <w:u w:val="single"/>
        </w:rPr>
        <w:t xml:space="preserve"> Creative Non-Violence</w:t>
      </w:r>
      <w:r w:rsidR="00C45A4D">
        <w:rPr>
          <w:rFonts w:ascii="Times New Roman" w:hAnsi="Times New Roman" w:cs="Times New Roman"/>
          <w:sz w:val="24"/>
          <w:szCs w:val="24"/>
        </w:rPr>
        <w:t>, 490 U.S.</w:t>
      </w:r>
      <w:r w:rsidR="00F55684">
        <w:rPr>
          <w:rFonts w:ascii="Times New Roman" w:hAnsi="Times New Roman" w:cs="Times New Roman"/>
          <w:sz w:val="24"/>
          <w:szCs w:val="24"/>
        </w:rPr>
        <w:t xml:space="preserve"> at</w:t>
      </w:r>
      <w:r w:rsidR="00C45A4D">
        <w:rPr>
          <w:rFonts w:ascii="Times New Roman" w:hAnsi="Times New Roman" w:cs="Times New Roman"/>
          <w:sz w:val="24"/>
          <w:szCs w:val="24"/>
        </w:rPr>
        <w:t xml:space="preserve"> 730, </w:t>
      </w:r>
      <w:r w:rsidR="00C45A4D" w:rsidRPr="0007541B">
        <w:rPr>
          <w:rFonts w:ascii="Times New Roman" w:hAnsi="Times New Roman" w:cs="Times New Roman"/>
          <w:i/>
          <w:sz w:val="24"/>
          <w:szCs w:val="24"/>
        </w:rPr>
        <w:t>see also</w:t>
      </w:r>
      <w:r w:rsidR="00C45A4D">
        <w:rPr>
          <w:rFonts w:ascii="Times New Roman" w:hAnsi="Times New Roman" w:cs="Times New Roman"/>
          <w:sz w:val="24"/>
          <w:szCs w:val="24"/>
        </w:rPr>
        <w:t xml:space="preserve"> </w:t>
      </w:r>
      <w:r w:rsidR="00C45A4D">
        <w:rPr>
          <w:rFonts w:ascii="Times New Roman" w:hAnsi="Times New Roman" w:cs="Times New Roman"/>
          <w:sz w:val="24"/>
          <w:szCs w:val="24"/>
          <w:u w:val="single"/>
        </w:rPr>
        <w:t>Mills Music, Inc. v. Snyder</w:t>
      </w:r>
      <w:r w:rsidR="00C45A4D">
        <w:rPr>
          <w:rFonts w:ascii="Times New Roman" w:hAnsi="Times New Roman" w:cs="Times New Roman"/>
          <w:sz w:val="24"/>
          <w:szCs w:val="24"/>
        </w:rPr>
        <w:t>, 469 U.S. 153, 15</w:t>
      </w:r>
      <w:r w:rsidR="007F788A">
        <w:rPr>
          <w:rFonts w:ascii="Times New Roman" w:hAnsi="Times New Roman" w:cs="Times New Roman"/>
          <w:sz w:val="24"/>
          <w:szCs w:val="24"/>
        </w:rPr>
        <w:t xml:space="preserve">9 (1985). Congress was cognizant of the need for limitations, considering the concerns of both hiring partners and freelance authors. Further limitation on when the signed instrument need be made would have occurred had the legislature intended it. </w:t>
      </w:r>
      <w:r w:rsidR="007F788A">
        <w:rPr>
          <w:rFonts w:ascii="Times New Roman" w:hAnsi="Times New Roman" w:cs="Times New Roman"/>
          <w:sz w:val="24"/>
          <w:szCs w:val="24"/>
          <w:u w:val="single"/>
        </w:rPr>
        <w:t>H.R. Rep. No. 94-1476</w:t>
      </w:r>
      <w:r w:rsidR="007F788A">
        <w:rPr>
          <w:rFonts w:ascii="Times New Roman" w:hAnsi="Times New Roman" w:cs="Times New Roman"/>
          <w:sz w:val="24"/>
          <w:szCs w:val="24"/>
        </w:rPr>
        <w:t xml:space="preserve"> at 121 (1976)</w:t>
      </w:r>
      <w:r w:rsidR="0034308D">
        <w:rPr>
          <w:rFonts w:ascii="Times New Roman" w:hAnsi="Times New Roman" w:cs="Times New Roman"/>
          <w:sz w:val="24"/>
          <w:szCs w:val="24"/>
        </w:rPr>
        <w:t xml:space="preserve">. Since no limitations were explicitly created by the legislature toward that end, the fact that the written agreement was signed by Nelson and Lime after the completion of the work is irrelevant, and has no bearing on the validity of the written agreement. Its existence is proof of its validity, and therefore should be enforced by the Court. </w:t>
      </w:r>
      <w:r w:rsidR="002524C6">
        <w:rPr>
          <w:rFonts w:ascii="Times New Roman" w:hAnsi="Times New Roman" w:cs="Times New Roman"/>
          <w:sz w:val="24"/>
          <w:szCs w:val="24"/>
          <w:u w:val="single"/>
        </w:rPr>
        <w:t>Id.</w:t>
      </w:r>
      <w:r w:rsidR="002524C6">
        <w:rPr>
          <w:rFonts w:ascii="Times New Roman" w:hAnsi="Times New Roman" w:cs="Times New Roman"/>
          <w:sz w:val="24"/>
          <w:szCs w:val="24"/>
        </w:rPr>
        <w:t xml:space="preserve"> at 121. </w:t>
      </w:r>
      <w:r w:rsidR="00C45A4D">
        <w:rPr>
          <w:rFonts w:ascii="Times New Roman" w:hAnsi="Times New Roman" w:cs="Times New Roman"/>
          <w:sz w:val="24"/>
          <w:szCs w:val="24"/>
        </w:rPr>
        <w:br/>
      </w:r>
      <w:r w:rsidR="00C45A4D">
        <w:rPr>
          <w:rFonts w:ascii="Times New Roman" w:hAnsi="Times New Roman" w:cs="Times New Roman"/>
          <w:sz w:val="24"/>
          <w:szCs w:val="24"/>
        </w:rPr>
        <w:tab/>
        <w:t xml:space="preserve">When enacting 17 U.S.C. 101, Congress intended to close the door on “hiring parties who have failed to get a full assignment of copyrights from independent contractors falling outside the subdivision (2) guidelines, to unilaterally obtain work-made-for-hire rights years after the work has been completed.” </w:t>
      </w:r>
      <w:r w:rsidR="00C45A4D">
        <w:rPr>
          <w:rFonts w:ascii="Times New Roman" w:hAnsi="Times New Roman" w:cs="Times New Roman"/>
          <w:sz w:val="24"/>
          <w:szCs w:val="24"/>
          <w:u w:val="single"/>
        </w:rPr>
        <w:t>Evans</w:t>
      </w:r>
      <w:r w:rsidR="00F55684">
        <w:rPr>
          <w:rFonts w:ascii="Times New Roman" w:hAnsi="Times New Roman" w:cs="Times New Roman"/>
          <w:sz w:val="24"/>
          <w:szCs w:val="24"/>
          <w:u w:val="single"/>
        </w:rPr>
        <w:t xml:space="preserve"> Newton, Inc. v. Chicago Sys.</w:t>
      </w:r>
      <w:r w:rsidR="00C45A4D">
        <w:rPr>
          <w:rFonts w:ascii="Times New Roman" w:hAnsi="Times New Roman" w:cs="Times New Roman"/>
          <w:sz w:val="24"/>
          <w:szCs w:val="24"/>
          <w:u w:val="single"/>
        </w:rPr>
        <w:t xml:space="preserve"> Software</w:t>
      </w:r>
      <w:r w:rsidR="00C45A4D">
        <w:rPr>
          <w:rFonts w:ascii="Times New Roman" w:hAnsi="Times New Roman" w:cs="Times New Roman"/>
          <w:sz w:val="24"/>
          <w:szCs w:val="24"/>
        </w:rPr>
        <w:t>, 793 F.2d 889 (</w:t>
      </w:r>
      <w:r w:rsidR="00F55684">
        <w:rPr>
          <w:rFonts w:ascii="Times New Roman" w:hAnsi="Times New Roman" w:cs="Times New Roman"/>
          <w:sz w:val="24"/>
          <w:szCs w:val="24"/>
        </w:rPr>
        <w:t xml:space="preserve">7th Cir. </w:t>
      </w:r>
      <w:r w:rsidR="00C45A4D">
        <w:rPr>
          <w:rFonts w:ascii="Times New Roman" w:hAnsi="Times New Roman" w:cs="Times New Roman"/>
          <w:sz w:val="24"/>
          <w:szCs w:val="24"/>
        </w:rPr>
        <w:lastRenderedPageBreak/>
        <w:t xml:space="preserve">1986). </w:t>
      </w:r>
      <w:r w:rsidR="005F2092">
        <w:rPr>
          <w:rFonts w:ascii="Times New Roman" w:hAnsi="Times New Roman" w:cs="Times New Roman"/>
          <w:sz w:val="24"/>
          <w:szCs w:val="24"/>
        </w:rPr>
        <w:t xml:space="preserve">The scenario Congress envisioned involves a </w:t>
      </w:r>
      <w:r w:rsidR="005E0DA0">
        <w:rPr>
          <w:rFonts w:ascii="Times New Roman" w:hAnsi="Times New Roman" w:cs="Times New Roman"/>
          <w:sz w:val="24"/>
          <w:szCs w:val="24"/>
        </w:rPr>
        <w:t>hiring party attempting to obtain a work-made-for-hire rights years after completion of the work, without the initial cooperation of the independent contractor</w:t>
      </w:r>
      <w:r w:rsidR="005F2092">
        <w:rPr>
          <w:rFonts w:ascii="Times New Roman" w:hAnsi="Times New Roman" w:cs="Times New Roman"/>
          <w:sz w:val="24"/>
          <w:szCs w:val="24"/>
        </w:rPr>
        <w:t>.</w:t>
      </w:r>
      <w:r w:rsidR="00383C4E">
        <w:rPr>
          <w:rFonts w:ascii="Times New Roman" w:hAnsi="Times New Roman" w:cs="Times New Roman"/>
          <w:sz w:val="24"/>
          <w:szCs w:val="24"/>
        </w:rPr>
        <w:t xml:space="preserve"> </w:t>
      </w:r>
      <w:r w:rsidR="00383C4E">
        <w:rPr>
          <w:rFonts w:ascii="Times New Roman" w:hAnsi="Times New Roman" w:cs="Times New Roman"/>
          <w:sz w:val="24"/>
          <w:szCs w:val="24"/>
          <w:u w:val="single"/>
        </w:rPr>
        <w:t>Id.</w:t>
      </w:r>
      <w:r w:rsidR="00383C4E">
        <w:rPr>
          <w:rFonts w:ascii="Times New Roman" w:hAnsi="Times New Roman" w:cs="Times New Roman"/>
          <w:sz w:val="24"/>
          <w:szCs w:val="24"/>
        </w:rPr>
        <w:t xml:space="preserve"> at 889. </w:t>
      </w:r>
      <w:r w:rsidR="005E0DA0">
        <w:rPr>
          <w:rFonts w:ascii="Times New Roman" w:hAnsi="Times New Roman" w:cs="Times New Roman"/>
          <w:sz w:val="24"/>
          <w:szCs w:val="24"/>
        </w:rPr>
        <w:t>In contrast, t</w:t>
      </w:r>
      <w:r w:rsidR="005F2092">
        <w:rPr>
          <w:rFonts w:ascii="Times New Roman" w:hAnsi="Times New Roman" w:cs="Times New Roman"/>
          <w:sz w:val="24"/>
          <w:szCs w:val="24"/>
        </w:rPr>
        <w:t xml:space="preserve">he instant case is one of convenience, in which both parties wanted work to begin immediately and both parties signed the written document a short time after its completion. </w:t>
      </w:r>
      <w:r w:rsidR="0026305F">
        <w:rPr>
          <w:rFonts w:ascii="Times New Roman" w:hAnsi="Times New Roman" w:cs="Times New Roman"/>
          <w:sz w:val="24"/>
          <w:szCs w:val="24"/>
        </w:rPr>
        <w:t xml:space="preserve">Congress’ intent allows for the validity of OGS’ work-made-for-hire agreement with Lime concerning “Anticipatory Repudiation,” making the defendants’ actions concerning “The Love Below” a copyright infringement. </w:t>
      </w:r>
      <w:r w:rsidR="00383C4E">
        <w:rPr>
          <w:rFonts w:ascii="Times New Roman" w:hAnsi="Times New Roman" w:cs="Times New Roman"/>
          <w:sz w:val="24"/>
          <w:szCs w:val="24"/>
          <w:u w:val="single"/>
        </w:rPr>
        <w:t>Id</w:t>
      </w:r>
      <w:r w:rsidR="00383C4E">
        <w:rPr>
          <w:rFonts w:ascii="Times New Roman" w:hAnsi="Times New Roman" w:cs="Times New Roman"/>
          <w:sz w:val="24"/>
          <w:szCs w:val="24"/>
        </w:rPr>
        <w:t xml:space="preserve">. at 889. </w:t>
      </w:r>
    </w:p>
    <w:p w14:paraId="2F83A640" w14:textId="77777777" w:rsidR="0026305F" w:rsidRDefault="0026305F" w:rsidP="0026305F">
      <w:pPr>
        <w:pStyle w:val="ListParagraph"/>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t>The Canons of Construction Require that a Written Work Made for Hire Agreement is Valid No Matter its Timing.</w:t>
      </w:r>
    </w:p>
    <w:p w14:paraId="688DB8DE" w14:textId="77777777" w:rsidR="0026305F" w:rsidRDefault="0026305F" w:rsidP="0026305F">
      <w:pPr>
        <w:pStyle w:val="ListParagraph"/>
        <w:spacing w:line="480" w:lineRule="auto"/>
        <w:ind w:left="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If the Court found the statute ambiguous, the Court can resort to “traditional canons of statutory construction to resolve the ambiguity, before looking to legislative history.” </w:t>
      </w:r>
      <w:r>
        <w:rPr>
          <w:rFonts w:ascii="Times New Roman" w:hAnsi="Times New Roman" w:cs="Times New Roman"/>
          <w:sz w:val="24"/>
          <w:szCs w:val="24"/>
          <w:u w:val="single"/>
        </w:rPr>
        <w:t>U</w:t>
      </w:r>
      <w:r w:rsidR="00F55684">
        <w:rPr>
          <w:rFonts w:ascii="Times New Roman" w:hAnsi="Times New Roman" w:cs="Times New Roman"/>
          <w:sz w:val="24"/>
          <w:szCs w:val="24"/>
          <w:u w:val="single"/>
        </w:rPr>
        <w:t>.S.</w:t>
      </w:r>
      <w:r>
        <w:rPr>
          <w:rFonts w:ascii="Times New Roman" w:hAnsi="Times New Roman" w:cs="Times New Roman"/>
          <w:sz w:val="24"/>
          <w:szCs w:val="24"/>
          <w:u w:val="single"/>
        </w:rPr>
        <w:t xml:space="preserve"> v. Dauray</w:t>
      </w:r>
      <w:r w:rsidR="00F55684">
        <w:rPr>
          <w:rFonts w:ascii="Times New Roman" w:hAnsi="Times New Roman" w:cs="Times New Roman"/>
          <w:sz w:val="24"/>
          <w:szCs w:val="24"/>
        </w:rPr>
        <w:t>, 215 F.3d 257</w:t>
      </w:r>
      <w:r>
        <w:rPr>
          <w:rFonts w:ascii="Times New Roman" w:hAnsi="Times New Roman" w:cs="Times New Roman"/>
          <w:sz w:val="24"/>
          <w:szCs w:val="24"/>
        </w:rPr>
        <w:t>, 262 (</w:t>
      </w:r>
      <w:r w:rsidR="00F55684">
        <w:rPr>
          <w:rFonts w:ascii="Times New Roman" w:hAnsi="Times New Roman" w:cs="Times New Roman"/>
          <w:sz w:val="24"/>
          <w:szCs w:val="24"/>
        </w:rPr>
        <w:t xml:space="preserve">2nd Cir. </w:t>
      </w:r>
      <w:r>
        <w:rPr>
          <w:rFonts w:ascii="Times New Roman" w:hAnsi="Times New Roman" w:cs="Times New Roman"/>
          <w:sz w:val="24"/>
          <w:szCs w:val="24"/>
        </w:rPr>
        <w:t xml:space="preserve">2000). </w:t>
      </w:r>
      <w:r w:rsidR="0058003E">
        <w:rPr>
          <w:rFonts w:ascii="Times New Roman" w:hAnsi="Times New Roman" w:cs="Times New Roman"/>
          <w:sz w:val="24"/>
          <w:szCs w:val="24"/>
        </w:rPr>
        <w:t xml:space="preserve">When the court deliberately crafts a statute, the Court is often “reluctant to treat statutory terms as surplusage.” </w:t>
      </w:r>
      <w:r w:rsidR="0058003E">
        <w:rPr>
          <w:rFonts w:ascii="Times New Roman" w:hAnsi="Times New Roman" w:cs="Times New Roman"/>
          <w:sz w:val="24"/>
          <w:szCs w:val="24"/>
          <w:u w:val="single"/>
        </w:rPr>
        <w:t>Duncan v. Walker</w:t>
      </w:r>
      <w:r w:rsidR="0058003E">
        <w:rPr>
          <w:rFonts w:ascii="Times New Roman" w:hAnsi="Times New Roman" w:cs="Times New Roman"/>
          <w:sz w:val="24"/>
          <w:szCs w:val="24"/>
        </w:rPr>
        <w:t xml:space="preserve">, 533 U.S. 167 (2001). Only explicit exceptions specified by Congress </w:t>
      </w:r>
      <w:r w:rsidR="00E72790">
        <w:rPr>
          <w:rFonts w:ascii="Times New Roman" w:hAnsi="Times New Roman" w:cs="Times New Roman"/>
          <w:sz w:val="24"/>
          <w:szCs w:val="24"/>
        </w:rPr>
        <w:t>can be interpreted in the statute</w:t>
      </w:r>
      <w:r w:rsidR="0058003E">
        <w:rPr>
          <w:rFonts w:ascii="Times New Roman" w:hAnsi="Times New Roman" w:cs="Times New Roman"/>
          <w:sz w:val="24"/>
          <w:szCs w:val="24"/>
        </w:rPr>
        <w:t xml:space="preserve">. </w:t>
      </w:r>
      <w:r w:rsidR="0058003E">
        <w:rPr>
          <w:rFonts w:ascii="Times New Roman" w:hAnsi="Times New Roman" w:cs="Times New Roman"/>
          <w:sz w:val="24"/>
          <w:szCs w:val="24"/>
          <w:u w:val="single"/>
        </w:rPr>
        <w:t>United States v. Smith</w:t>
      </w:r>
      <w:r w:rsidR="0058003E">
        <w:rPr>
          <w:rFonts w:ascii="Times New Roman" w:hAnsi="Times New Roman" w:cs="Times New Roman"/>
          <w:sz w:val="24"/>
          <w:szCs w:val="24"/>
        </w:rPr>
        <w:t xml:space="preserve">, 499 U.S. 160, 166 (1991), </w:t>
      </w:r>
      <w:r w:rsidR="0058003E" w:rsidRPr="0007541B">
        <w:rPr>
          <w:rFonts w:ascii="Times New Roman" w:hAnsi="Times New Roman" w:cs="Times New Roman"/>
          <w:i/>
          <w:sz w:val="24"/>
          <w:szCs w:val="24"/>
          <w:u w:val="single"/>
        </w:rPr>
        <w:t>see also</w:t>
      </w:r>
      <w:r w:rsidR="0058003E">
        <w:rPr>
          <w:rFonts w:ascii="Times New Roman" w:hAnsi="Times New Roman" w:cs="Times New Roman"/>
          <w:sz w:val="24"/>
          <w:szCs w:val="24"/>
        </w:rPr>
        <w:t xml:space="preserve"> </w:t>
      </w:r>
      <w:r w:rsidR="0058003E">
        <w:rPr>
          <w:rFonts w:ascii="Times New Roman" w:hAnsi="Times New Roman" w:cs="Times New Roman"/>
          <w:sz w:val="24"/>
          <w:szCs w:val="24"/>
          <w:u w:val="single"/>
        </w:rPr>
        <w:t>John Hancock Mut. Life Ins. Co. v. Harris Trust &amp; Say. Bank</w:t>
      </w:r>
      <w:r w:rsidR="0058003E">
        <w:rPr>
          <w:rFonts w:ascii="Times New Roman" w:hAnsi="Times New Roman" w:cs="Times New Roman"/>
          <w:sz w:val="24"/>
          <w:szCs w:val="24"/>
        </w:rPr>
        <w:t xml:space="preserve">, 510 U.S. 86, 96 (1994). The Court should not read into 17 U.S.C. 201(b) an exception that a written agreement for a work-made-for-hire signed after completion of the work is invalid. </w:t>
      </w:r>
      <w:r w:rsidR="0058003E" w:rsidRPr="00D50D4D">
        <w:rPr>
          <w:rFonts w:ascii="Times New Roman" w:hAnsi="Times New Roman" w:cs="Times New Roman"/>
          <w:sz w:val="24"/>
          <w:szCs w:val="24"/>
          <w:u w:val="single"/>
        </w:rPr>
        <w:t>Smith</w:t>
      </w:r>
      <w:r w:rsidR="00F55684">
        <w:rPr>
          <w:rFonts w:ascii="Times New Roman" w:hAnsi="Times New Roman" w:cs="Times New Roman"/>
          <w:sz w:val="24"/>
          <w:szCs w:val="24"/>
        </w:rPr>
        <w:t>, 499 U.S. at</w:t>
      </w:r>
      <w:r w:rsidR="0058003E">
        <w:rPr>
          <w:rFonts w:ascii="Times New Roman" w:hAnsi="Times New Roman" w:cs="Times New Roman"/>
          <w:sz w:val="24"/>
          <w:szCs w:val="24"/>
        </w:rPr>
        <w:t xml:space="preserve"> 166 (1991). Absent an explicit exception to that effect, the screenplay is a valid work-made-for-hire, with OGS as its owner. </w:t>
      </w:r>
      <w:r w:rsidR="0058003E">
        <w:rPr>
          <w:rFonts w:ascii="Times New Roman" w:hAnsi="Times New Roman" w:cs="Times New Roman"/>
          <w:sz w:val="24"/>
          <w:szCs w:val="24"/>
        </w:rPr>
        <w:br/>
      </w:r>
      <w:r w:rsidR="0058003E">
        <w:rPr>
          <w:rFonts w:ascii="Times New Roman" w:hAnsi="Times New Roman" w:cs="Times New Roman"/>
          <w:sz w:val="24"/>
          <w:szCs w:val="24"/>
        </w:rPr>
        <w:tab/>
      </w:r>
      <w:r>
        <w:rPr>
          <w:rFonts w:ascii="Times New Roman" w:hAnsi="Times New Roman" w:cs="Times New Roman"/>
          <w:sz w:val="24"/>
          <w:szCs w:val="24"/>
        </w:rPr>
        <w:t xml:space="preserve">A purposive construction of the statute supports the validity of OGS’ work-made-for-hire agreement concerning “Anticipatory Repudiation.” </w:t>
      </w:r>
      <w:r w:rsidR="00F55684">
        <w:rPr>
          <w:rFonts w:ascii="Times New Roman" w:hAnsi="Times New Roman" w:cs="Times New Roman"/>
          <w:sz w:val="24"/>
          <w:szCs w:val="24"/>
          <w:u w:val="single"/>
        </w:rPr>
        <w:t>Burlington N.</w:t>
      </w:r>
      <w:r>
        <w:rPr>
          <w:rFonts w:ascii="Times New Roman" w:hAnsi="Times New Roman" w:cs="Times New Roman"/>
          <w:sz w:val="24"/>
          <w:szCs w:val="24"/>
          <w:u w:val="single"/>
        </w:rPr>
        <w:t xml:space="preserve"> and Santa Fe Ry. Co. v. White</w:t>
      </w:r>
      <w:r>
        <w:rPr>
          <w:rFonts w:ascii="Times New Roman" w:hAnsi="Times New Roman" w:cs="Times New Roman"/>
          <w:sz w:val="24"/>
          <w:szCs w:val="24"/>
        </w:rPr>
        <w:t>, 548 U.S. 53 (2006). Under a purposive construc</w:t>
      </w:r>
      <w:r w:rsidR="0034308D">
        <w:rPr>
          <w:rFonts w:ascii="Times New Roman" w:hAnsi="Times New Roman" w:cs="Times New Roman"/>
          <w:sz w:val="24"/>
          <w:szCs w:val="24"/>
        </w:rPr>
        <w:t xml:space="preserve">tion of the statute, the Court </w:t>
      </w:r>
      <w:r>
        <w:rPr>
          <w:rFonts w:ascii="Times New Roman" w:hAnsi="Times New Roman" w:cs="Times New Roman"/>
          <w:sz w:val="24"/>
          <w:szCs w:val="24"/>
        </w:rPr>
        <w:t>interpret</w:t>
      </w:r>
      <w:r w:rsidR="0034308D">
        <w:rPr>
          <w:rFonts w:ascii="Times New Roman" w:hAnsi="Times New Roman" w:cs="Times New Roman"/>
          <w:sz w:val="24"/>
          <w:szCs w:val="24"/>
        </w:rPr>
        <w:t>s</w:t>
      </w:r>
      <w:r>
        <w:rPr>
          <w:rFonts w:ascii="Times New Roman" w:hAnsi="Times New Roman" w:cs="Times New Roman"/>
          <w:sz w:val="24"/>
          <w:szCs w:val="24"/>
        </w:rPr>
        <w:t xml:space="preserve"> the statute in light of the “provision’s ‘primary purpose’” </w:t>
      </w:r>
      <w:r>
        <w:rPr>
          <w:rFonts w:ascii="Times New Roman" w:hAnsi="Times New Roman" w:cs="Times New Roman"/>
          <w:sz w:val="24"/>
          <w:szCs w:val="24"/>
          <w:u w:val="single"/>
        </w:rPr>
        <w:t>Robinson v. Shell Oil Co.</w:t>
      </w:r>
      <w:r>
        <w:rPr>
          <w:rFonts w:ascii="Times New Roman" w:hAnsi="Times New Roman" w:cs="Times New Roman"/>
          <w:sz w:val="24"/>
          <w:szCs w:val="24"/>
        </w:rPr>
        <w:t xml:space="preserve">, 519 U.S. 337, 346 </w:t>
      </w:r>
      <w:r>
        <w:rPr>
          <w:rFonts w:ascii="Times New Roman" w:hAnsi="Times New Roman" w:cs="Times New Roman"/>
          <w:sz w:val="24"/>
          <w:szCs w:val="24"/>
        </w:rPr>
        <w:lastRenderedPageBreak/>
        <w:t>(1997)</w:t>
      </w:r>
      <w:r w:rsidR="00916692">
        <w:rPr>
          <w:rFonts w:ascii="Times New Roman" w:hAnsi="Times New Roman" w:cs="Times New Roman"/>
          <w:sz w:val="24"/>
          <w:szCs w:val="24"/>
        </w:rPr>
        <w:t xml:space="preserve">. </w:t>
      </w:r>
      <w:r w:rsidR="00803F93">
        <w:rPr>
          <w:rFonts w:ascii="Times New Roman" w:hAnsi="Times New Roman" w:cs="Times New Roman"/>
          <w:sz w:val="24"/>
          <w:szCs w:val="24"/>
        </w:rPr>
        <w:t xml:space="preserve">The primary purposes of the work-made-for-hire provision in 17 U.S.C. 101 are two-fold: balance the interests of both the hiring partners and the freelance writers, and protect the fundamental principle that the commissioner “is considered the author of the” work-made-for-hire. </w:t>
      </w:r>
      <w:r w:rsidR="00916692">
        <w:rPr>
          <w:rFonts w:ascii="Times New Roman" w:hAnsi="Times New Roman" w:cs="Times New Roman"/>
          <w:sz w:val="24"/>
          <w:szCs w:val="24"/>
          <w:u w:val="single"/>
        </w:rPr>
        <w:t>H.R. Rep. No. 94-1476</w:t>
      </w:r>
      <w:r w:rsidR="00916692">
        <w:rPr>
          <w:rFonts w:ascii="Times New Roman" w:hAnsi="Times New Roman" w:cs="Times New Roman"/>
          <w:sz w:val="24"/>
          <w:szCs w:val="24"/>
        </w:rPr>
        <w:t xml:space="preserve"> at 121 (1976) (Conf. Rep.). </w:t>
      </w:r>
      <w:r w:rsidR="001D57EB">
        <w:rPr>
          <w:rFonts w:ascii="Times New Roman" w:hAnsi="Times New Roman" w:cs="Times New Roman"/>
          <w:sz w:val="24"/>
          <w:szCs w:val="24"/>
        </w:rPr>
        <w:t xml:space="preserve">These principles imply that Congress intended in most cases for a work-made-for-hire agreement to result in ownership and authorship residing in the hiring party. </w:t>
      </w:r>
      <w:r w:rsidR="00383C4E">
        <w:rPr>
          <w:rFonts w:ascii="Times New Roman" w:hAnsi="Times New Roman" w:cs="Times New Roman"/>
          <w:sz w:val="24"/>
          <w:szCs w:val="24"/>
          <w:u w:val="single"/>
        </w:rPr>
        <w:t>Id.</w:t>
      </w:r>
      <w:r w:rsidR="00383C4E">
        <w:rPr>
          <w:rFonts w:ascii="Times New Roman" w:hAnsi="Times New Roman" w:cs="Times New Roman"/>
          <w:sz w:val="24"/>
          <w:szCs w:val="24"/>
        </w:rPr>
        <w:t xml:space="preserve"> at 121</w:t>
      </w:r>
      <w:r w:rsidR="001D57EB">
        <w:rPr>
          <w:rFonts w:ascii="Times New Roman" w:hAnsi="Times New Roman" w:cs="Times New Roman"/>
          <w:sz w:val="24"/>
          <w:szCs w:val="24"/>
        </w:rPr>
        <w:t>. In the instant case, OGS was the hiring party, and the interests of both</w:t>
      </w:r>
      <w:r w:rsidR="0034308D">
        <w:rPr>
          <w:rFonts w:ascii="Times New Roman" w:hAnsi="Times New Roman" w:cs="Times New Roman"/>
          <w:sz w:val="24"/>
          <w:szCs w:val="24"/>
        </w:rPr>
        <w:t xml:space="preserve"> Lime and Nelson were advanced </w:t>
      </w:r>
      <w:r w:rsidR="001D57EB">
        <w:rPr>
          <w:rFonts w:ascii="Times New Roman" w:hAnsi="Times New Roman" w:cs="Times New Roman"/>
          <w:sz w:val="24"/>
          <w:szCs w:val="24"/>
        </w:rPr>
        <w:t>when deciding to start work immediately and leave the paperwork for later completion. Under this interpretation, OGS’ written agreement for “Anticipatory Repudiation”</w:t>
      </w:r>
      <w:r w:rsidR="0034308D">
        <w:rPr>
          <w:rFonts w:ascii="Times New Roman" w:hAnsi="Times New Roman" w:cs="Times New Roman"/>
          <w:sz w:val="24"/>
          <w:szCs w:val="24"/>
        </w:rPr>
        <w:t xml:space="preserve"> is valid, and therefore OGS’ copyright should be protected by the Court.</w:t>
      </w:r>
    </w:p>
    <w:p w14:paraId="1FFA11C3" w14:textId="77777777" w:rsidR="0026305F" w:rsidRDefault="001D57EB" w:rsidP="001D57EB">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r>
      <w:r w:rsidR="00365FE1">
        <w:rPr>
          <w:rFonts w:ascii="Times New Roman" w:hAnsi="Times New Roman" w:cs="Times New Roman"/>
          <w:sz w:val="24"/>
          <w:szCs w:val="24"/>
        </w:rPr>
        <w:t xml:space="preserve">The U.S. Supreme Court states that the “rule of lenity applies only if, ‘after seizing everything from which aid can be derived,’ . . . we can make ‘no more than a guess as to what Congress intended.” </w:t>
      </w:r>
      <w:r w:rsidR="00F55684">
        <w:rPr>
          <w:rFonts w:ascii="Times New Roman" w:hAnsi="Times New Roman" w:cs="Times New Roman"/>
          <w:sz w:val="24"/>
          <w:szCs w:val="24"/>
          <w:u w:val="single"/>
        </w:rPr>
        <w:t>U.S.</w:t>
      </w:r>
      <w:r w:rsidR="00365FE1">
        <w:rPr>
          <w:rFonts w:ascii="Times New Roman" w:hAnsi="Times New Roman" w:cs="Times New Roman"/>
          <w:sz w:val="24"/>
          <w:szCs w:val="24"/>
          <w:u w:val="single"/>
        </w:rPr>
        <w:t xml:space="preserve"> v. Wells</w:t>
      </w:r>
      <w:r w:rsidR="00365FE1">
        <w:rPr>
          <w:rFonts w:ascii="Times New Roman" w:hAnsi="Times New Roman" w:cs="Times New Roman"/>
          <w:sz w:val="24"/>
          <w:szCs w:val="24"/>
        </w:rPr>
        <w:t xml:space="preserve">, 519 U.S. 482, 499 (1997), </w:t>
      </w:r>
      <w:r w:rsidR="00365FE1" w:rsidRPr="0007541B">
        <w:rPr>
          <w:rFonts w:ascii="Times New Roman" w:hAnsi="Times New Roman" w:cs="Times New Roman"/>
          <w:i/>
          <w:sz w:val="24"/>
          <w:szCs w:val="24"/>
        </w:rPr>
        <w:t>see also</w:t>
      </w:r>
      <w:r w:rsidR="00365FE1">
        <w:rPr>
          <w:rFonts w:ascii="Times New Roman" w:hAnsi="Times New Roman" w:cs="Times New Roman"/>
          <w:sz w:val="24"/>
          <w:szCs w:val="24"/>
        </w:rPr>
        <w:t xml:space="preserve"> </w:t>
      </w:r>
      <w:r w:rsidR="00365FE1">
        <w:rPr>
          <w:rFonts w:ascii="Times New Roman" w:hAnsi="Times New Roman" w:cs="Times New Roman"/>
          <w:sz w:val="24"/>
          <w:szCs w:val="24"/>
          <w:u w:val="single"/>
        </w:rPr>
        <w:t>U.S. v. Bass</w:t>
      </w:r>
      <w:r w:rsidR="00D50D4D">
        <w:rPr>
          <w:rFonts w:ascii="Times New Roman" w:hAnsi="Times New Roman" w:cs="Times New Roman"/>
          <w:sz w:val="24"/>
          <w:szCs w:val="24"/>
        </w:rPr>
        <w:t xml:space="preserve">, 404 U.S. 347, </w:t>
      </w:r>
      <w:r w:rsidR="00365FE1">
        <w:rPr>
          <w:rFonts w:ascii="Times New Roman" w:hAnsi="Times New Roman" w:cs="Times New Roman"/>
          <w:sz w:val="24"/>
          <w:szCs w:val="24"/>
        </w:rPr>
        <w:t xml:space="preserve">349 (1971). </w:t>
      </w:r>
      <w:r w:rsidR="0034308D">
        <w:rPr>
          <w:rFonts w:ascii="Times New Roman" w:hAnsi="Times New Roman" w:cs="Times New Roman"/>
          <w:sz w:val="24"/>
          <w:szCs w:val="24"/>
        </w:rPr>
        <w:t xml:space="preserve">Given ample evidence unambiguous language, considerable evidence congressional intent in legislative history, and useful canons of construction, the use of the rule of lenity is unnecessary. </w:t>
      </w:r>
      <w:r w:rsidR="0034308D">
        <w:rPr>
          <w:rFonts w:ascii="Times New Roman" w:hAnsi="Times New Roman" w:cs="Times New Roman"/>
          <w:sz w:val="24"/>
          <w:szCs w:val="24"/>
          <w:u w:val="single"/>
        </w:rPr>
        <w:t>Muscarello v. U.S.</w:t>
      </w:r>
      <w:r w:rsidR="0034308D">
        <w:rPr>
          <w:rFonts w:ascii="Times New Roman" w:hAnsi="Times New Roman" w:cs="Times New Roman"/>
          <w:sz w:val="24"/>
          <w:szCs w:val="24"/>
        </w:rPr>
        <w:t xml:space="preserve">, 524 U.S. 125, 138 (1998). Thus, the defendant’s should not receive a favorable ruling on a Motion to Dismiss, based on the Court’s use of the rule of lenity in this instance. To do so would violate a valid work-made-for-hire agreement between OGS and Lime. </w:t>
      </w:r>
    </w:p>
    <w:p w14:paraId="57883C02" w14:textId="77777777" w:rsidR="00C75D08" w:rsidRDefault="00C75D08" w:rsidP="001D57EB">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The rule of lenity is used when there is ambiguity concerning criminal liability or penalty. </w:t>
      </w:r>
      <w:r>
        <w:rPr>
          <w:rFonts w:ascii="Times New Roman" w:hAnsi="Times New Roman" w:cs="Times New Roman"/>
          <w:sz w:val="24"/>
          <w:szCs w:val="24"/>
          <w:u w:val="single"/>
        </w:rPr>
        <w:t>U.S. v. Aguilar</w:t>
      </w:r>
      <w:r>
        <w:rPr>
          <w:rFonts w:ascii="Times New Roman" w:hAnsi="Times New Roman" w:cs="Times New Roman"/>
          <w:sz w:val="24"/>
          <w:szCs w:val="24"/>
        </w:rPr>
        <w:t xml:space="preserve">, 515 U.S. 593, 612 (1995). </w:t>
      </w:r>
      <w:r w:rsidR="00855FA0">
        <w:rPr>
          <w:rFonts w:ascii="Times New Roman" w:hAnsi="Times New Roman" w:cs="Times New Roman"/>
          <w:sz w:val="24"/>
          <w:szCs w:val="24"/>
        </w:rPr>
        <w:t xml:space="preserve">This case involves a civil action, and thus the rule of lenity does not apply. Therefore, the Court should not interpret an ambiguity in 17 U.S.C. 201(b) in favor of the defendant, and must find OGS’ work-for-hire agreement with Lime valid. </w:t>
      </w:r>
    </w:p>
    <w:p w14:paraId="2072EE39" w14:textId="77777777" w:rsidR="00F55684" w:rsidRDefault="00F55684" w:rsidP="001D57EB">
      <w:pPr>
        <w:pStyle w:val="ListParagraph"/>
        <w:spacing w:line="480" w:lineRule="auto"/>
        <w:ind w:left="0"/>
        <w:rPr>
          <w:rFonts w:ascii="Times New Roman" w:hAnsi="Times New Roman" w:cs="Times New Roman"/>
          <w:sz w:val="24"/>
          <w:szCs w:val="24"/>
        </w:rPr>
      </w:pPr>
    </w:p>
    <w:p w14:paraId="7429BDD8" w14:textId="77777777" w:rsidR="00855FA0" w:rsidRPr="00855FA0" w:rsidRDefault="00855FA0" w:rsidP="00855FA0">
      <w:pPr>
        <w:pStyle w:val="ListParagraph"/>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t xml:space="preserve">Policy Concerns Strengthen the Argument That a Written Agreement for a Work Made for Hire is Valid Regardless of the Time of its Creation. </w:t>
      </w:r>
      <w:r>
        <w:rPr>
          <w:rFonts w:ascii="Times New Roman" w:hAnsi="Times New Roman" w:cs="Times New Roman"/>
          <w:sz w:val="24"/>
          <w:szCs w:val="24"/>
        </w:rPr>
        <w:t xml:space="preserve"> </w:t>
      </w:r>
    </w:p>
    <w:p w14:paraId="00651011" w14:textId="77777777" w:rsidR="0058003E" w:rsidRDefault="00855FA0" w:rsidP="0058003E">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58003E">
        <w:rPr>
          <w:rFonts w:ascii="Times New Roman" w:hAnsi="Times New Roman" w:cs="Times New Roman"/>
          <w:sz w:val="24"/>
          <w:szCs w:val="24"/>
        </w:rPr>
        <w:t xml:space="preserve">With all the weight of being “the </w:t>
      </w:r>
      <w:r w:rsidR="0058003E">
        <w:rPr>
          <w:rFonts w:ascii="Times New Roman" w:hAnsi="Times New Roman" w:cs="Times New Roman"/>
          <w:i/>
          <w:sz w:val="24"/>
          <w:szCs w:val="24"/>
        </w:rPr>
        <w:t>de facto</w:t>
      </w:r>
      <w:r w:rsidR="0058003E">
        <w:rPr>
          <w:rFonts w:ascii="Times New Roman" w:hAnsi="Times New Roman" w:cs="Times New Roman"/>
          <w:sz w:val="24"/>
          <w:szCs w:val="24"/>
        </w:rPr>
        <w:t xml:space="preserve"> Copyright Court of the United States,” </w:t>
      </w:r>
      <w:r w:rsidR="0058003E">
        <w:rPr>
          <w:rFonts w:ascii="Times New Roman" w:hAnsi="Times New Roman" w:cs="Times New Roman"/>
          <w:sz w:val="24"/>
          <w:szCs w:val="24"/>
          <w:u w:val="single"/>
        </w:rPr>
        <w:t>Easter Seal Soc. For Crippled Children &amp; Adults for La</w:t>
      </w:r>
      <w:r w:rsidR="00E143A4">
        <w:rPr>
          <w:rFonts w:ascii="Times New Roman" w:hAnsi="Times New Roman" w:cs="Times New Roman"/>
          <w:sz w:val="24"/>
          <w:szCs w:val="24"/>
          <w:u w:val="single"/>
        </w:rPr>
        <w:t>.</w:t>
      </w:r>
      <w:r w:rsidR="0058003E">
        <w:rPr>
          <w:rFonts w:ascii="Times New Roman" w:hAnsi="Times New Roman" w:cs="Times New Roman"/>
          <w:sz w:val="24"/>
          <w:szCs w:val="24"/>
          <w:u w:val="single"/>
        </w:rPr>
        <w:t>, Inc. v. Playboy Enter</w:t>
      </w:r>
      <w:r w:rsidR="00F55684">
        <w:rPr>
          <w:rFonts w:ascii="Times New Roman" w:hAnsi="Times New Roman" w:cs="Times New Roman"/>
          <w:sz w:val="24"/>
          <w:szCs w:val="24"/>
          <w:u w:val="single"/>
        </w:rPr>
        <w:t>.</w:t>
      </w:r>
      <w:r w:rsidR="0058003E">
        <w:rPr>
          <w:rFonts w:ascii="Times New Roman" w:hAnsi="Times New Roman" w:cs="Times New Roman"/>
          <w:sz w:val="24"/>
          <w:szCs w:val="24"/>
        </w:rPr>
        <w:t>, 815 F.2d 323, 325 (</w:t>
      </w:r>
      <w:r w:rsidR="00F55684">
        <w:rPr>
          <w:rFonts w:ascii="Times New Roman" w:hAnsi="Times New Roman" w:cs="Times New Roman"/>
          <w:sz w:val="24"/>
          <w:szCs w:val="24"/>
        </w:rPr>
        <w:t xml:space="preserve">5th Cir. </w:t>
      </w:r>
      <w:r w:rsidR="0058003E">
        <w:rPr>
          <w:rFonts w:ascii="Times New Roman" w:hAnsi="Times New Roman" w:cs="Times New Roman"/>
          <w:sz w:val="24"/>
          <w:szCs w:val="24"/>
        </w:rPr>
        <w:t xml:space="preserve">1987), the Court in </w:t>
      </w:r>
      <w:r w:rsidR="0058003E">
        <w:rPr>
          <w:rFonts w:ascii="Times New Roman" w:hAnsi="Times New Roman" w:cs="Times New Roman"/>
          <w:sz w:val="24"/>
          <w:szCs w:val="24"/>
          <w:u w:val="single"/>
        </w:rPr>
        <w:t>Dumas</w:t>
      </w:r>
      <w:r w:rsidR="0058003E">
        <w:rPr>
          <w:rFonts w:ascii="Times New Roman" w:hAnsi="Times New Roman" w:cs="Times New Roman"/>
          <w:sz w:val="24"/>
          <w:szCs w:val="24"/>
        </w:rPr>
        <w:t xml:space="preserve"> held that 17 U.S.C. 101(2) “can be met by a writing executed after the work is created, if the writing confirms a prior agreement, either explicit or implicit, made before the creation of the work.</w:t>
      </w:r>
      <w:r w:rsidR="00E817B5">
        <w:rPr>
          <w:rFonts w:ascii="Times New Roman" w:hAnsi="Times New Roman" w:cs="Times New Roman"/>
          <w:sz w:val="24"/>
          <w:szCs w:val="24"/>
        </w:rPr>
        <w:t>”</w:t>
      </w:r>
      <w:r w:rsidR="00E143A4">
        <w:rPr>
          <w:rFonts w:ascii="Times New Roman" w:hAnsi="Times New Roman" w:cs="Times New Roman"/>
          <w:sz w:val="24"/>
          <w:szCs w:val="24"/>
        </w:rPr>
        <w:t xml:space="preserve"> </w:t>
      </w:r>
      <w:r w:rsidR="00E817B5">
        <w:rPr>
          <w:rFonts w:ascii="Times New Roman" w:hAnsi="Times New Roman" w:cs="Times New Roman"/>
          <w:sz w:val="24"/>
          <w:szCs w:val="24"/>
          <w:u w:val="single"/>
        </w:rPr>
        <w:t>Playboy Enter. v. Dumas.</w:t>
      </w:r>
      <w:r w:rsidR="00E817B5">
        <w:rPr>
          <w:rFonts w:ascii="Times New Roman" w:hAnsi="Times New Roman" w:cs="Times New Roman"/>
          <w:sz w:val="24"/>
          <w:szCs w:val="24"/>
        </w:rPr>
        <w:t xml:space="preserve">, 53 F.3d 549, </w:t>
      </w:r>
      <w:r w:rsidR="0058003E">
        <w:rPr>
          <w:rFonts w:ascii="Times New Roman" w:hAnsi="Times New Roman" w:cs="Times New Roman"/>
          <w:sz w:val="24"/>
          <w:szCs w:val="24"/>
        </w:rPr>
        <w:t>558</w:t>
      </w:r>
      <w:r w:rsidR="00E817B5">
        <w:rPr>
          <w:rFonts w:ascii="Times New Roman" w:hAnsi="Times New Roman" w:cs="Times New Roman"/>
          <w:sz w:val="24"/>
          <w:szCs w:val="24"/>
        </w:rPr>
        <w:t xml:space="preserve"> (2nd Cir. 1995)</w:t>
      </w:r>
      <w:r w:rsidR="0058003E">
        <w:rPr>
          <w:rFonts w:ascii="Times New Roman" w:hAnsi="Times New Roman" w:cs="Times New Roman"/>
          <w:sz w:val="24"/>
          <w:szCs w:val="24"/>
        </w:rPr>
        <w:t xml:space="preserve">. In the instant case, Lime and Nelson signed a written agreement five days after Lime submitted the work on April 1, 2010. The written agreement confirmed an explicit, oral agreement made by Lime and Nelson on March 17, 2010, before the creation of the work. Under the Second Circuit’s understanding of conditions necessary for a valid written agreement in a work-made-for-hire, OGS is the owner of “Anticipatory Repudiation” and the defendants’ actions amount to copyright infringement. </w:t>
      </w:r>
      <w:r w:rsidR="00E817B5">
        <w:rPr>
          <w:rFonts w:ascii="Times New Roman" w:hAnsi="Times New Roman" w:cs="Times New Roman"/>
          <w:sz w:val="24"/>
          <w:szCs w:val="24"/>
          <w:u w:val="single"/>
        </w:rPr>
        <w:t>Id.</w:t>
      </w:r>
      <w:r w:rsidR="00E817B5">
        <w:rPr>
          <w:rFonts w:ascii="Times New Roman" w:hAnsi="Times New Roman" w:cs="Times New Roman"/>
          <w:sz w:val="24"/>
          <w:szCs w:val="24"/>
        </w:rPr>
        <w:t xml:space="preserve"> at 558. </w:t>
      </w:r>
      <w:r w:rsidR="0058003E">
        <w:rPr>
          <w:rFonts w:ascii="Times New Roman" w:hAnsi="Times New Roman" w:cs="Times New Roman"/>
          <w:sz w:val="24"/>
          <w:szCs w:val="24"/>
        </w:rPr>
        <w:br/>
      </w:r>
      <w:r w:rsidR="0058003E">
        <w:rPr>
          <w:rFonts w:ascii="Times New Roman" w:hAnsi="Times New Roman" w:cs="Times New Roman"/>
          <w:sz w:val="24"/>
          <w:szCs w:val="24"/>
        </w:rPr>
        <w:tab/>
        <w:t xml:space="preserve">In </w:t>
      </w:r>
      <w:r w:rsidR="0058003E">
        <w:rPr>
          <w:rFonts w:ascii="Times New Roman" w:hAnsi="Times New Roman" w:cs="Times New Roman"/>
          <w:sz w:val="24"/>
          <w:szCs w:val="24"/>
          <w:u w:val="single"/>
        </w:rPr>
        <w:t>Compaq</w:t>
      </w:r>
      <w:r w:rsidR="0058003E">
        <w:rPr>
          <w:rFonts w:ascii="Times New Roman" w:hAnsi="Times New Roman" w:cs="Times New Roman"/>
          <w:sz w:val="24"/>
          <w:szCs w:val="24"/>
        </w:rPr>
        <w:t xml:space="preserve">, the Court echoes the Second Circuit’s argument in </w:t>
      </w:r>
      <w:r w:rsidR="0058003E">
        <w:rPr>
          <w:rFonts w:ascii="Times New Roman" w:hAnsi="Times New Roman" w:cs="Times New Roman"/>
          <w:sz w:val="24"/>
          <w:szCs w:val="24"/>
          <w:u w:val="single"/>
        </w:rPr>
        <w:t>Dumas</w:t>
      </w:r>
      <w:r w:rsidR="0058003E">
        <w:rPr>
          <w:rFonts w:ascii="Times New Roman" w:hAnsi="Times New Roman" w:cs="Times New Roman"/>
          <w:sz w:val="24"/>
          <w:szCs w:val="24"/>
        </w:rPr>
        <w:t xml:space="preserve">, but approaches the question of validity of the written agreement by posing three questions: </w:t>
      </w:r>
    </w:p>
    <w:p w14:paraId="402614BF" w14:textId="77777777" w:rsidR="0058003E" w:rsidRDefault="0058003E" w:rsidP="0058003E">
      <w:pPr>
        <w:pStyle w:val="ListParagraph"/>
        <w:spacing w:line="240" w:lineRule="auto"/>
        <w:ind w:right="720"/>
        <w:rPr>
          <w:rFonts w:ascii="Times New Roman" w:hAnsi="Times New Roman" w:cs="Times New Roman"/>
          <w:sz w:val="24"/>
          <w:szCs w:val="24"/>
        </w:rPr>
      </w:pPr>
      <w:r>
        <w:rPr>
          <w:rFonts w:ascii="Times New Roman" w:hAnsi="Times New Roman" w:cs="Times New Roman"/>
          <w:sz w:val="24"/>
          <w:szCs w:val="24"/>
        </w:rPr>
        <w:t xml:space="preserve">whether the language of the . . . agreement was sufficient to meet the writing requirement of </w:t>
      </w:r>
      <w:r w:rsidRPr="00247026">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101(2); (2) if so, whether [the parties] understood at the time the . . . the works were made for hire; and (3) whether the . . . agreement was signed by both parties or by their authorized agents.” </w:t>
      </w:r>
    </w:p>
    <w:p w14:paraId="0FF6C28D" w14:textId="77777777" w:rsidR="0058003E" w:rsidRDefault="0058003E" w:rsidP="0058003E">
      <w:pPr>
        <w:pStyle w:val="ListParagraph"/>
        <w:spacing w:line="240" w:lineRule="auto"/>
        <w:ind w:right="720"/>
        <w:rPr>
          <w:rFonts w:ascii="Times New Roman" w:hAnsi="Times New Roman" w:cs="Times New Roman"/>
          <w:sz w:val="24"/>
          <w:szCs w:val="24"/>
        </w:rPr>
      </w:pPr>
    </w:p>
    <w:p w14:paraId="089250F3" w14:textId="77777777" w:rsidR="0058003E" w:rsidRDefault="0058003E" w:rsidP="0058003E">
      <w:pPr>
        <w:pStyle w:val="ListParagraph"/>
        <w:spacing w:line="240" w:lineRule="auto"/>
        <w:ind w:left="0" w:right="720"/>
        <w:rPr>
          <w:rFonts w:ascii="Times New Roman" w:hAnsi="Times New Roman" w:cs="Times New Roman"/>
          <w:sz w:val="24"/>
          <w:szCs w:val="24"/>
        </w:rPr>
      </w:pPr>
      <w:r w:rsidRPr="00E130D2">
        <w:rPr>
          <w:rFonts w:ascii="Times New Roman" w:hAnsi="Times New Roman" w:cs="Times New Roman"/>
          <w:sz w:val="24"/>
          <w:szCs w:val="24"/>
          <w:u w:val="single"/>
        </w:rPr>
        <w:t>Compaq Computer Corp</w:t>
      </w:r>
      <w:r w:rsidR="00E130D2">
        <w:rPr>
          <w:rFonts w:ascii="Times New Roman" w:hAnsi="Times New Roman" w:cs="Times New Roman"/>
          <w:sz w:val="24"/>
          <w:szCs w:val="24"/>
          <w:u w:val="single"/>
        </w:rPr>
        <w:t xml:space="preserve"> v. Ergonome Inc</w:t>
      </w:r>
      <w:r>
        <w:rPr>
          <w:rFonts w:ascii="Times New Roman" w:hAnsi="Times New Roman" w:cs="Times New Roman"/>
          <w:sz w:val="24"/>
          <w:szCs w:val="24"/>
          <w:u w:val="single"/>
        </w:rPr>
        <w:t>.</w:t>
      </w:r>
      <w:r w:rsidR="00E143A4">
        <w:rPr>
          <w:rFonts w:ascii="Times New Roman" w:hAnsi="Times New Roman" w:cs="Times New Roman"/>
          <w:sz w:val="24"/>
          <w:szCs w:val="24"/>
        </w:rPr>
        <w:t>, 210 F.Supp.2d 839, 843</w:t>
      </w:r>
      <w:r>
        <w:rPr>
          <w:rFonts w:ascii="Times New Roman" w:hAnsi="Times New Roman" w:cs="Times New Roman"/>
          <w:sz w:val="24"/>
          <w:szCs w:val="24"/>
        </w:rPr>
        <w:t xml:space="preserve"> </w:t>
      </w:r>
      <w:r w:rsidR="00E143A4">
        <w:rPr>
          <w:rFonts w:ascii="Times New Roman" w:hAnsi="Times New Roman" w:cs="Times New Roman"/>
          <w:sz w:val="24"/>
          <w:szCs w:val="24"/>
        </w:rPr>
        <w:t>(S.D.Tex. 2001).</w:t>
      </w:r>
    </w:p>
    <w:p w14:paraId="703836D1" w14:textId="77777777" w:rsidR="0058003E" w:rsidRDefault="0058003E" w:rsidP="0058003E">
      <w:pPr>
        <w:pStyle w:val="ListParagraph"/>
        <w:spacing w:line="240" w:lineRule="auto"/>
        <w:ind w:right="720"/>
        <w:rPr>
          <w:rFonts w:ascii="Times New Roman" w:hAnsi="Times New Roman" w:cs="Times New Roman"/>
          <w:sz w:val="24"/>
          <w:szCs w:val="24"/>
        </w:rPr>
      </w:pPr>
    </w:p>
    <w:p w14:paraId="379BE723" w14:textId="77777777" w:rsidR="00171B34" w:rsidRDefault="0058003E" w:rsidP="0026305F">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In the case of OGS and Lime, the written instrument held sufficient language. Lime and Nelson understood that it was a work-made-for-hire. Lime and Nelson signed the written agreement. The instant case closely parallels the facts in </w:t>
      </w:r>
      <w:r>
        <w:rPr>
          <w:rFonts w:ascii="Times New Roman" w:hAnsi="Times New Roman" w:cs="Times New Roman"/>
          <w:sz w:val="24"/>
          <w:szCs w:val="24"/>
          <w:u w:val="single"/>
        </w:rPr>
        <w:t>Compaq</w:t>
      </w:r>
      <w:r>
        <w:rPr>
          <w:rFonts w:ascii="Times New Roman" w:hAnsi="Times New Roman" w:cs="Times New Roman"/>
          <w:sz w:val="24"/>
          <w:szCs w:val="24"/>
        </w:rPr>
        <w:t xml:space="preserve">, where the parties expressed their “intent for the copyrights in the photographs” to belong to the employer, and the [written] </w:t>
      </w:r>
      <w:r>
        <w:rPr>
          <w:rFonts w:ascii="Times New Roman" w:hAnsi="Times New Roman" w:cs="Times New Roman"/>
          <w:sz w:val="24"/>
          <w:szCs w:val="24"/>
        </w:rPr>
        <w:lastRenderedPageBreak/>
        <w:t xml:space="preserve">agreement . . . was signed by the employee.” </w:t>
      </w:r>
      <w:r>
        <w:rPr>
          <w:rFonts w:ascii="Times New Roman" w:hAnsi="Times New Roman" w:cs="Times New Roman"/>
          <w:sz w:val="24"/>
          <w:szCs w:val="24"/>
          <w:u w:val="single"/>
        </w:rPr>
        <w:t>Id</w:t>
      </w:r>
      <w:r w:rsidR="002524C6">
        <w:rPr>
          <w:rFonts w:ascii="Times New Roman" w:hAnsi="Times New Roman" w:cs="Times New Roman"/>
          <w:sz w:val="24"/>
          <w:szCs w:val="24"/>
          <w:u w:val="single"/>
        </w:rPr>
        <w:t>.</w:t>
      </w:r>
      <w:r>
        <w:rPr>
          <w:rFonts w:ascii="Times New Roman" w:hAnsi="Times New Roman" w:cs="Times New Roman"/>
          <w:sz w:val="24"/>
          <w:szCs w:val="24"/>
        </w:rPr>
        <w:t xml:space="preserve"> at 844. If the rule established by </w:t>
      </w:r>
      <w:r>
        <w:rPr>
          <w:rFonts w:ascii="Times New Roman" w:hAnsi="Times New Roman" w:cs="Times New Roman"/>
          <w:sz w:val="24"/>
          <w:szCs w:val="24"/>
          <w:u w:val="single"/>
        </w:rPr>
        <w:t>Compaq</w:t>
      </w:r>
      <w:r>
        <w:rPr>
          <w:rFonts w:ascii="Times New Roman" w:hAnsi="Times New Roman" w:cs="Times New Roman"/>
          <w:sz w:val="24"/>
          <w:szCs w:val="24"/>
        </w:rPr>
        <w:t xml:space="preserve"> is the product of an adoption of the rule of the Second Circuit, and the similar facts in </w:t>
      </w:r>
      <w:r>
        <w:rPr>
          <w:rFonts w:ascii="Times New Roman" w:hAnsi="Times New Roman" w:cs="Times New Roman"/>
          <w:sz w:val="24"/>
          <w:szCs w:val="24"/>
          <w:u w:val="single"/>
        </w:rPr>
        <w:t>Compaq</w:t>
      </w:r>
      <w:r>
        <w:rPr>
          <w:rFonts w:ascii="Times New Roman" w:hAnsi="Times New Roman" w:cs="Times New Roman"/>
          <w:sz w:val="24"/>
          <w:szCs w:val="24"/>
        </w:rPr>
        <w:t xml:space="preserve"> make for a valid written agreement, then the same should be found for OGS in this case. </w:t>
      </w:r>
      <w:r w:rsidR="00E817B5">
        <w:rPr>
          <w:rFonts w:ascii="Times New Roman" w:hAnsi="Times New Roman" w:cs="Times New Roman"/>
          <w:i/>
          <w:sz w:val="24"/>
          <w:szCs w:val="24"/>
        </w:rPr>
        <w:t xml:space="preserve">Compare </w:t>
      </w:r>
      <w:r w:rsidR="00E817B5" w:rsidRPr="00E130D2">
        <w:rPr>
          <w:rFonts w:ascii="Times New Roman" w:hAnsi="Times New Roman" w:cs="Times New Roman"/>
          <w:sz w:val="24"/>
          <w:szCs w:val="24"/>
          <w:u w:val="single"/>
        </w:rPr>
        <w:t>Compaq Computer Corp</w:t>
      </w:r>
      <w:r w:rsidR="00E817B5">
        <w:rPr>
          <w:rFonts w:ascii="Times New Roman" w:hAnsi="Times New Roman" w:cs="Times New Roman"/>
          <w:sz w:val="24"/>
          <w:szCs w:val="24"/>
          <w:u w:val="single"/>
        </w:rPr>
        <w:t>.</w:t>
      </w:r>
      <w:r w:rsidR="00E817B5">
        <w:rPr>
          <w:rFonts w:ascii="Times New Roman" w:hAnsi="Times New Roman" w:cs="Times New Roman"/>
          <w:sz w:val="24"/>
          <w:szCs w:val="24"/>
        </w:rPr>
        <w:t xml:space="preserve">, 210 F.Supp.2d at 844, </w:t>
      </w:r>
      <w:r w:rsidR="00E817B5">
        <w:rPr>
          <w:rFonts w:ascii="Times New Roman" w:hAnsi="Times New Roman" w:cs="Times New Roman"/>
          <w:i/>
          <w:sz w:val="24"/>
          <w:szCs w:val="24"/>
        </w:rPr>
        <w:t xml:space="preserve">with </w:t>
      </w:r>
      <w:r w:rsidR="00E817B5" w:rsidRPr="00E130D2">
        <w:rPr>
          <w:rFonts w:ascii="Times New Roman" w:hAnsi="Times New Roman" w:cs="Times New Roman"/>
          <w:sz w:val="24"/>
          <w:szCs w:val="24"/>
          <w:u w:val="single"/>
        </w:rPr>
        <w:t>Dumas</w:t>
      </w:r>
      <w:r w:rsidR="00E817B5">
        <w:rPr>
          <w:rFonts w:ascii="Times New Roman" w:hAnsi="Times New Roman" w:cs="Times New Roman"/>
          <w:sz w:val="24"/>
          <w:szCs w:val="24"/>
        </w:rPr>
        <w:t>,</w:t>
      </w:r>
      <w:r w:rsidR="00E817B5" w:rsidRPr="00E817B5">
        <w:rPr>
          <w:rFonts w:ascii="Times New Roman" w:hAnsi="Times New Roman" w:cs="Times New Roman"/>
          <w:sz w:val="24"/>
          <w:szCs w:val="24"/>
        </w:rPr>
        <w:t xml:space="preserve"> </w:t>
      </w:r>
      <w:r w:rsidR="00E817B5">
        <w:rPr>
          <w:rFonts w:ascii="Times New Roman" w:hAnsi="Times New Roman" w:cs="Times New Roman"/>
          <w:sz w:val="24"/>
          <w:szCs w:val="24"/>
        </w:rPr>
        <w:t xml:space="preserve">53 F.3d 549, 558. </w:t>
      </w:r>
      <w:r>
        <w:rPr>
          <w:rFonts w:ascii="Times New Roman" w:hAnsi="Times New Roman" w:cs="Times New Roman"/>
          <w:sz w:val="24"/>
          <w:szCs w:val="24"/>
        </w:rPr>
        <w:t xml:space="preserve">Under the rule in </w:t>
      </w:r>
      <w:r>
        <w:rPr>
          <w:rFonts w:ascii="Times New Roman" w:hAnsi="Times New Roman" w:cs="Times New Roman"/>
          <w:sz w:val="24"/>
          <w:szCs w:val="24"/>
          <w:u w:val="single"/>
        </w:rPr>
        <w:t>Compaq</w:t>
      </w:r>
      <w:r>
        <w:rPr>
          <w:rFonts w:ascii="Times New Roman" w:hAnsi="Times New Roman" w:cs="Times New Roman"/>
          <w:sz w:val="24"/>
          <w:szCs w:val="24"/>
        </w:rPr>
        <w:t xml:space="preserve">, OGS holds a valid work-for-hire agreement with Lime concerning “Anticipatory Repudiation.” </w:t>
      </w:r>
      <w:r w:rsidR="00E817B5" w:rsidRPr="00E130D2">
        <w:rPr>
          <w:rFonts w:ascii="Times New Roman" w:hAnsi="Times New Roman" w:cs="Times New Roman"/>
          <w:sz w:val="24"/>
          <w:szCs w:val="24"/>
          <w:u w:val="single"/>
        </w:rPr>
        <w:t>Compaq Computer Corp</w:t>
      </w:r>
      <w:r w:rsidR="00E817B5">
        <w:rPr>
          <w:rFonts w:ascii="Times New Roman" w:hAnsi="Times New Roman" w:cs="Times New Roman"/>
          <w:sz w:val="24"/>
          <w:szCs w:val="24"/>
          <w:u w:val="single"/>
        </w:rPr>
        <w:t>.</w:t>
      </w:r>
      <w:r w:rsidR="00E817B5">
        <w:rPr>
          <w:rFonts w:ascii="Times New Roman" w:hAnsi="Times New Roman" w:cs="Times New Roman"/>
          <w:sz w:val="24"/>
          <w:szCs w:val="24"/>
        </w:rPr>
        <w:t>, 210 F.Supp.2d</w:t>
      </w:r>
      <w:r>
        <w:rPr>
          <w:rFonts w:ascii="Times New Roman" w:hAnsi="Times New Roman" w:cs="Times New Roman"/>
          <w:sz w:val="24"/>
          <w:szCs w:val="24"/>
        </w:rPr>
        <w:t xml:space="preserve"> at 844. </w:t>
      </w:r>
      <w:r>
        <w:rPr>
          <w:rFonts w:ascii="Times New Roman" w:hAnsi="Times New Roman" w:cs="Times New Roman"/>
          <w:sz w:val="24"/>
          <w:szCs w:val="24"/>
        </w:rPr>
        <w:br/>
        <w:t xml:space="preserve"> </w:t>
      </w:r>
      <w:r>
        <w:rPr>
          <w:rFonts w:ascii="Times New Roman" w:hAnsi="Times New Roman" w:cs="Times New Roman"/>
          <w:sz w:val="24"/>
          <w:szCs w:val="24"/>
        </w:rPr>
        <w:tab/>
      </w:r>
      <w:r w:rsidR="00855FA0">
        <w:rPr>
          <w:rFonts w:ascii="Times New Roman" w:hAnsi="Times New Roman" w:cs="Times New Roman"/>
          <w:sz w:val="24"/>
          <w:szCs w:val="24"/>
        </w:rPr>
        <w:t xml:space="preserve">Citing a “convincing argument” by Nimmer, the Second Circuit Court considers the uncertainty to an added limitation on written agreements for works-made-for-hire: </w:t>
      </w:r>
    </w:p>
    <w:p w14:paraId="72FF0340" w14:textId="77777777" w:rsidR="005F2092" w:rsidRDefault="00855FA0" w:rsidP="00171B34">
      <w:pPr>
        <w:pStyle w:val="ListParagraph"/>
        <w:spacing w:line="240" w:lineRule="auto"/>
        <w:ind w:right="720"/>
        <w:rPr>
          <w:rFonts w:ascii="Times New Roman" w:hAnsi="Times New Roman" w:cs="Times New Roman"/>
          <w:sz w:val="24"/>
          <w:szCs w:val="24"/>
        </w:rPr>
      </w:pPr>
      <w:r>
        <w:rPr>
          <w:rFonts w:ascii="Times New Roman" w:hAnsi="Times New Roman" w:cs="Times New Roman"/>
          <w:sz w:val="24"/>
          <w:szCs w:val="24"/>
        </w:rPr>
        <w:t>[one] can […] imagine involving parties each of whom knew of the unanimous intent among all concerned that the work for hire doctrine would apply, notwithstanding that some of the paperwork remained not fully executed until after creation of the subject work. In that circumstance, the bright line rule could frustrate the intent of the parties and cloud rather than serve the goal of certainty.</w:t>
      </w:r>
    </w:p>
    <w:p w14:paraId="3C2CB0C7" w14:textId="77777777" w:rsidR="00171B34" w:rsidRDefault="00171B34" w:rsidP="00171B34">
      <w:pPr>
        <w:pStyle w:val="ListParagraph"/>
        <w:spacing w:line="240" w:lineRule="auto"/>
        <w:ind w:right="720"/>
        <w:rPr>
          <w:rFonts w:ascii="Times New Roman" w:hAnsi="Times New Roman" w:cs="Times New Roman"/>
          <w:sz w:val="24"/>
          <w:szCs w:val="24"/>
        </w:rPr>
      </w:pPr>
    </w:p>
    <w:p w14:paraId="198685F5" w14:textId="77777777" w:rsidR="00171B34" w:rsidRDefault="00171B34" w:rsidP="00171B34">
      <w:pPr>
        <w:pStyle w:val="ListParagraph"/>
        <w:spacing w:line="240" w:lineRule="auto"/>
        <w:ind w:left="0" w:right="720"/>
        <w:rPr>
          <w:rFonts w:ascii="Times New Roman" w:hAnsi="Times New Roman" w:cs="Times New Roman"/>
          <w:sz w:val="24"/>
          <w:szCs w:val="24"/>
        </w:rPr>
      </w:pPr>
      <w:proofErr w:type="gramStart"/>
      <w:r w:rsidRPr="00E130D2">
        <w:rPr>
          <w:rFonts w:ascii="Times New Roman" w:hAnsi="Times New Roman" w:cs="Times New Roman"/>
          <w:sz w:val="24"/>
          <w:szCs w:val="24"/>
          <w:u w:val="single"/>
        </w:rPr>
        <w:t>Dumas</w:t>
      </w:r>
      <w:r w:rsidR="00E817B5">
        <w:rPr>
          <w:rFonts w:ascii="Times New Roman" w:hAnsi="Times New Roman" w:cs="Times New Roman"/>
          <w:sz w:val="24"/>
          <w:szCs w:val="24"/>
        </w:rPr>
        <w:t>, 53 F.3d at 559.</w:t>
      </w:r>
      <w:proofErr w:type="gramEnd"/>
      <w:r>
        <w:rPr>
          <w:rFonts w:ascii="Times New Roman" w:hAnsi="Times New Roman" w:cs="Times New Roman"/>
          <w:sz w:val="24"/>
          <w:szCs w:val="24"/>
        </w:rPr>
        <w:t xml:space="preserve"> </w:t>
      </w:r>
    </w:p>
    <w:p w14:paraId="58CDBC4D" w14:textId="77777777" w:rsidR="00171B34" w:rsidRDefault="00171B34" w:rsidP="00171B34">
      <w:pPr>
        <w:pStyle w:val="ListParagraph"/>
        <w:spacing w:line="240" w:lineRule="auto"/>
        <w:ind w:left="0" w:right="720"/>
        <w:rPr>
          <w:rFonts w:ascii="Times New Roman" w:hAnsi="Times New Roman" w:cs="Times New Roman"/>
          <w:sz w:val="24"/>
          <w:szCs w:val="24"/>
        </w:rPr>
      </w:pPr>
    </w:p>
    <w:p w14:paraId="67BDCDEE" w14:textId="77777777" w:rsidR="00EA56BD" w:rsidRDefault="00171B34" w:rsidP="002714C2">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r>
      <w:r w:rsidR="009A5947">
        <w:rPr>
          <w:rFonts w:ascii="Times New Roman" w:hAnsi="Times New Roman" w:cs="Times New Roman"/>
          <w:sz w:val="24"/>
          <w:szCs w:val="24"/>
        </w:rPr>
        <w:t xml:space="preserve">The uncertainty of an added limitation can hamper industries in which works-made-for-hire arrangements are used, cooling economic activity. </w:t>
      </w:r>
      <w:r w:rsidR="009A5947">
        <w:rPr>
          <w:rFonts w:ascii="Times New Roman" w:hAnsi="Times New Roman" w:cs="Times New Roman"/>
          <w:sz w:val="24"/>
          <w:szCs w:val="24"/>
          <w:u w:val="single"/>
        </w:rPr>
        <w:t>Id</w:t>
      </w:r>
      <w:r w:rsidR="002524C6">
        <w:rPr>
          <w:rFonts w:ascii="Times New Roman" w:hAnsi="Times New Roman" w:cs="Times New Roman"/>
          <w:sz w:val="24"/>
          <w:szCs w:val="24"/>
          <w:u w:val="single"/>
        </w:rPr>
        <w:t>.</w:t>
      </w:r>
      <w:r w:rsidR="009A5947">
        <w:rPr>
          <w:rFonts w:ascii="Times New Roman" w:hAnsi="Times New Roman" w:cs="Times New Roman"/>
          <w:sz w:val="24"/>
          <w:szCs w:val="24"/>
        </w:rPr>
        <w:t xml:space="preserve"> at 559. Given the fluid and fast-paced nature of the entertainment industry, the circumstances under which a work-made-for-hire agreement between OGS and Lime came about may be a common occurrence. </w:t>
      </w:r>
      <w:r w:rsidR="00633CF1">
        <w:rPr>
          <w:rFonts w:ascii="Times New Roman" w:hAnsi="Times New Roman" w:cs="Times New Roman"/>
          <w:sz w:val="24"/>
          <w:szCs w:val="24"/>
        </w:rPr>
        <w:t xml:space="preserve"> </w:t>
      </w:r>
      <w:r w:rsidR="00633CF1" w:rsidRPr="00633CF1">
        <w:rPr>
          <w:rFonts w:ascii="Times New Roman" w:hAnsi="Times New Roman" w:cs="Times New Roman"/>
          <w:sz w:val="24"/>
          <w:szCs w:val="24"/>
          <w:u w:val="single"/>
        </w:rPr>
        <w:t>Id</w:t>
      </w:r>
      <w:r w:rsidR="002524C6">
        <w:rPr>
          <w:rFonts w:ascii="Times New Roman" w:hAnsi="Times New Roman" w:cs="Times New Roman"/>
          <w:sz w:val="24"/>
          <w:szCs w:val="24"/>
          <w:u w:val="single"/>
        </w:rPr>
        <w:t>.</w:t>
      </w:r>
      <w:r w:rsidR="00633CF1">
        <w:rPr>
          <w:rFonts w:ascii="Times New Roman" w:hAnsi="Times New Roman" w:cs="Times New Roman"/>
          <w:sz w:val="24"/>
          <w:szCs w:val="24"/>
        </w:rPr>
        <w:t xml:space="preserve"> at 559. </w:t>
      </w:r>
      <w:r w:rsidR="009A5947" w:rsidRPr="00633CF1">
        <w:rPr>
          <w:rFonts w:ascii="Times New Roman" w:hAnsi="Times New Roman" w:cs="Times New Roman"/>
          <w:sz w:val="24"/>
          <w:szCs w:val="24"/>
        </w:rPr>
        <w:t>To</w:t>
      </w:r>
      <w:r w:rsidR="009A5947">
        <w:rPr>
          <w:rFonts w:ascii="Times New Roman" w:hAnsi="Times New Roman" w:cs="Times New Roman"/>
          <w:sz w:val="24"/>
          <w:szCs w:val="24"/>
        </w:rPr>
        <w:t xml:space="preserve"> add a limitation is to possibly impede the intent of parties in a work-made-for-hire acting that must react to </w:t>
      </w:r>
      <w:r w:rsidR="00633CF1">
        <w:rPr>
          <w:rFonts w:ascii="Times New Roman" w:hAnsi="Times New Roman" w:cs="Times New Roman"/>
          <w:sz w:val="24"/>
          <w:szCs w:val="24"/>
        </w:rPr>
        <w:t xml:space="preserve">certain pressures by forging agreements in a variety of ways. </w:t>
      </w:r>
      <w:r w:rsidR="00633CF1">
        <w:rPr>
          <w:rFonts w:ascii="Times New Roman" w:hAnsi="Times New Roman" w:cs="Times New Roman"/>
          <w:sz w:val="24"/>
          <w:szCs w:val="24"/>
          <w:u w:val="single"/>
        </w:rPr>
        <w:t>Id</w:t>
      </w:r>
      <w:r w:rsidR="002524C6">
        <w:rPr>
          <w:rFonts w:ascii="Times New Roman" w:hAnsi="Times New Roman" w:cs="Times New Roman"/>
          <w:sz w:val="24"/>
          <w:szCs w:val="24"/>
          <w:u w:val="single"/>
        </w:rPr>
        <w:t>.</w:t>
      </w:r>
      <w:r w:rsidR="00633CF1">
        <w:rPr>
          <w:rFonts w:ascii="Times New Roman" w:hAnsi="Times New Roman" w:cs="Times New Roman"/>
          <w:sz w:val="24"/>
          <w:szCs w:val="24"/>
        </w:rPr>
        <w:t xml:space="preserve"> at 559. Given this policy consideration, the Court should find OGS written agreement with Lime valid for the purposes of enforcing the work-made-for-hire rights held by OGS. </w:t>
      </w:r>
      <w:r w:rsidR="00633CF1">
        <w:rPr>
          <w:rFonts w:ascii="Times New Roman" w:hAnsi="Times New Roman" w:cs="Times New Roman"/>
          <w:sz w:val="24"/>
          <w:szCs w:val="24"/>
          <w:u w:val="single"/>
        </w:rPr>
        <w:t>Id</w:t>
      </w:r>
      <w:r w:rsidR="002524C6">
        <w:rPr>
          <w:rFonts w:ascii="Times New Roman" w:hAnsi="Times New Roman" w:cs="Times New Roman"/>
          <w:sz w:val="24"/>
          <w:szCs w:val="24"/>
          <w:u w:val="single"/>
        </w:rPr>
        <w:t>.</w:t>
      </w:r>
      <w:r w:rsidR="00633CF1">
        <w:rPr>
          <w:rFonts w:ascii="Times New Roman" w:hAnsi="Times New Roman" w:cs="Times New Roman"/>
          <w:sz w:val="24"/>
          <w:szCs w:val="24"/>
        </w:rPr>
        <w:t xml:space="preserve"> at 559. </w:t>
      </w:r>
      <w:r w:rsidR="00633CF1">
        <w:rPr>
          <w:rFonts w:ascii="Times New Roman" w:hAnsi="Times New Roman" w:cs="Times New Roman"/>
          <w:sz w:val="24"/>
          <w:szCs w:val="24"/>
        </w:rPr>
        <w:br/>
        <w:t xml:space="preserve"> </w:t>
      </w:r>
      <w:r w:rsidR="009A5947">
        <w:rPr>
          <w:rFonts w:ascii="Times New Roman" w:hAnsi="Times New Roman" w:cs="Times New Roman"/>
          <w:sz w:val="24"/>
          <w:szCs w:val="24"/>
        </w:rPr>
        <w:t xml:space="preserve"> </w:t>
      </w:r>
      <w:r w:rsidR="009A5947">
        <w:rPr>
          <w:rFonts w:ascii="Times New Roman" w:hAnsi="Times New Roman" w:cs="Times New Roman"/>
          <w:sz w:val="24"/>
          <w:szCs w:val="24"/>
        </w:rPr>
        <w:tab/>
      </w:r>
      <w:r w:rsidR="00F132BA">
        <w:rPr>
          <w:rFonts w:ascii="Times New Roman" w:hAnsi="Times New Roman" w:cs="Times New Roman"/>
          <w:sz w:val="24"/>
          <w:szCs w:val="24"/>
        </w:rPr>
        <w:t xml:space="preserve">Allowing for the rule established in the Second Circuit and in </w:t>
      </w:r>
      <w:r w:rsidR="00F132BA">
        <w:rPr>
          <w:rFonts w:ascii="Times New Roman" w:hAnsi="Times New Roman" w:cs="Times New Roman"/>
          <w:sz w:val="24"/>
          <w:szCs w:val="24"/>
          <w:u w:val="single"/>
        </w:rPr>
        <w:t>Compaq</w:t>
      </w:r>
      <w:r w:rsidR="00F132BA">
        <w:rPr>
          <w:rFonts w:ascii="Times New Roman" w:hAnsi="Times New Roman" w:cs="Times New Roman"/>
          <w:sz w:val="24"/>
          <w:szCs w:val="24"/>
        </w:rPr>
        <w:t xml:space="preserve"> serves judicial economy.</w:t>
      </w:r>
      <w:r w:rsidR="00E817B5">
        <w:rPr>
          <w:rFonts w:ascii="Times New Roman" w:hAnsi="Times New Roman" w:cs="Times New Roman"/>
          <w:sz w:val="24"/>
          <w:szCs w:val="24"/>
        </w:rPr>
        <w:t xml:space="preserve"> </w:t>
      </w:r>
      <w:r w:rsidR="00E817B5">
        <w:rPr>
          <w:rFonts w:ascii="Times New Roman" w:hAnsi="Times New Roman" w:cs="Times New Roman"/>
          <w:sz w:val="24"/>
          <w:szCs w:val="24"/>
          <w:u w:val="single"/>
        </w:rPr>
        <w:t>Compaq Computer Corp.</w:t>
      </w:r>
      <w:r w:rsidR="00E817B5">
        <w:rPr>
          <w:rFonts w:ascii="Times New Roman" w:hAnsi="Times New Roman" w:cs="Times New Roman"/>
          <w:sz w:val="24"/>
          <w:szCs w:val="24"/>
        </w:rPr>
        <w:t>, 210 F. Supp.2d at 843.</w:t>
      </w:r>
      <w:r w:rsidR="00F132BA">
        <w:rPr>
          <w:rFonts w:ascii="Times New Roman" w:hAnsi="Times New Roman" w:cs="Times New Roman"/>
          <w:sz w:val="24"/>
          <w:szCs w:val="24"/>
        </w:rPr>
        <w:t xml:space="preserve"> A flexible rule allows the court to apply a single rule </w:t>
      </w:r>
      <w:r w:rsidR="009920B6">
        <w:rPr>
          <w:rFonts w:ascii="Times New Roman" w:hAnsi="Times New Roman" w:cs="Times New Roman"/>
          <w:sz w:val="24"/>
          <w:szCs w:val="24"/>
        </w:rPr>
        <w:t xml:space="preserve">to </w:t>
      </w:r>
      <w:r w:rsidR="00F132BA">
        <w:rPr>
          <w:rFonts w:ascii="Times New Roman" w:hAnsi="Times New Roman" w:cs="Times New Roman"/>
          <w:sz w:val="24"/>
          <w:szCs w:val="24"/>
        </w:rPr>
        <w:t xml:space="preserve">cases of widely differing circumstances, whose commonality is the issue is </w:t>
      </w:r>
      <w:r w:rsidR="00F132BA">
        <w:rPr>
          <w:rFonts w:ascii="Times New Roman" w:hAnsi="Times New Roman" w:cs="Times New Roman"/>
          <w:sz w:val="24"/>
          <w:szCs w:val="24"/>
        </w:rPr>
        <w:lastRenderedPageBreak/>
        <w:t xml:space="preserve">whether the written agreement for a work-made-for hire is valid, while adjudicating with the intent of the parties in mind. </w:t>
      </w:r>
      <w:r w:rsidR="00E817B5">
        <w:rPr>
          <w:rFonts w:ascii="Times New Roman" w:hAnsi="Times New Roman" w:cs="Times New Roman"/>
          <w:sz w:val="24"/>
          <w:szCs w:val="24"/>
          <w:u w:val="single"/>
        </w:rPr>
        <w:t>Id.</w:t>
      </w:r>
      <w:r w:rsidR="00E817B5">
        <w:rPr>
          <w:rFonts w:ascii="Times New Roman" w:hAnsi="Times New Roman" w:cs="Times New Roman"/>
          <w:sz w:val="24"/>
          <w:szCs w:val="24"/>
        </w:rPr>
        <w:t xml:space="preserve"> at 843.</w:t>
      </w:r>
      <w:r w:rsidR="009920B6">
        <w:rPr>
          <w:rFonts w:ascii="Times New Roman" w:hAnsi="Times New Roman" w:cs="Times New Roman"/>
          <w:sz w:val="24"/>
          <w:szCs w:val="24"/>
        </w:rPr>
        <w:t xml:space="preserve"> In the instant case, use of the flexible rule results in a ruling that respects the intent of the Li</w:t>
      </w:r>
      <w:r w:rsidR="002714C2">
        <w:rPr>
          <w:rFonts w:ascii="Times New Roman" w:hAnsi="Times New Roman" w:cs="Times New Roman"/>
          <w:sz w:val="24"/>
          <w:szCs w:val="24"/>
        </w:rPr>
        <w:t xml:space="preserve">me and Nelson when they entered </w:t>
      </w:r>
      <w:r w:rsidR="009920B6">
        <w:rPr>
          <w:rFonts w:ascii="Times New Roman" w:hAnsi="Times New Roman" w:cs="Times New Roman"/>
          <w:sz w:val="24"/>
          <w:szCs w:val="24"/>
        </w:rPr>
        <w:t xml:space="preserve">into the oral and written agreement designating OGS as the author and owner of the work-made-for-hire “Anticipatory Repudiation.” </w:t>
      </w:r>
      <w:r w:rsidR="00FF1F7D">
        <w:rPr>
          <w:rFonts w:ascii="Times New Roman" w:hAnsi="Times New Roman" w:cs="Times New Roman"/>
          <w:sz w:val="24"/>
          <w:szCs w:val="24"/>
          <w:u w:val="single"/>
        </w:rPr>
        <w:t>Id</w:t>
      </w:r>
      <w:r w:rsidR="002524C6">
        <w:rPr>
          <w:rFonts w:ascii="Times New Roman" w:hAnsi="Times New Roman" w:cs="Times New Roman"/>
          <w:sz w:val="24"/>
          <w:szCs w:val="24"/>
          <w:u w:val="single"/>
        </w:rPr>
        <w:t>.</w:t>
      </w:r>
      <w:r w:rsidR="00FF1F7D">
        <w:rPr>
          <w:rFonts w:ascii="Times New Roman" w:hAnsi="Times New Roman" w:cs="Times New Roman"/>
          <w:sz w:val="24"/>
          <w:szCs w:val="24"/>
        </w:rPr>
        <w:t xml:space="preserve"> at 843. </w:t>
      </w:r>
    </w:p>
    <w:p w14:paraId="77921C3E" w14:textId="77777777" w:rsidR="002714C2" w:rsidRDefault="002714C2" w:rsidP="00D86AB5">
      <w:pPr>
        <w:pStyle w:val="ListParagraph"/>
        <w:spacing w:line="480" w:lineRule="auto"/>
        <w:ind w:right="720"/>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CONCLUSION </w:t>
      </w:r>
    </w:p>
    <w:p w14:paraId="3B526F3C" w14:textId="77777777" w:rsidR="00827B98" w:rsidRDefault="002714C2" w:rsidP="00827B98">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All facets of statutory interpretation point to the validity of OGS’ written </w:t>
      </w:r>
      <w:r w:rsidR="0071299B">
        <w:rPr>
          <w:rFonts w:ascii="Times New Roman" w:hAnsi="Times New Roman" w:cs="Times New Roman"/>
          <w:sz w:val="24"/>
          <w:szCs w:val="24"/>
        </w:rPr>
        <w:t xml:space="preserve">agreement with Lime </w:t>
      </w:r>
      <w:r>
        <w:rPr>
          <w:rFonts w:ascii="Times New Roman" w:hAnsi="Times New Roman" w:cs="Times New Roman"/>
          <w:sz w:val="24"/>
          <w:szCs w:val="24"/>
        </w:rPr>
        <w:t>that makes OGS the owner of the work-made-for-hire “Anticipatory Repudiation.” A plain reading of the statute grants completion of the required written agreement at any point in the work completion process. Two decades of legislative history displays Congress’ intent for flexibility in regards to the timing of the written agreement. Application of the canons of construction show Congress’</w:t>
      </w:r>
      <w:r w:rsidR="0071299B">
        <w:rPr>
          <w:rFonts w:ascii="Times New Roman" w:hAnsi="Times New Roman" w:cs="Times New Roman"/>
          <w:sz w:val="24"/>
          <w:szCs w:val="24"/>
        </w:rPr>
        <w:t xml:space="preserve"> intent for a flexible rule in regards to the required written agreement,</w:t>
      </w:r>
      <w:r>
        <w:rPr>
          <w:rFonts w:ascii="Times New Roman" w:hAnsi="Times New Roman" w:cs="Times New Roman"/>
          <w:sz w:val="24"/>
          <w:szCs w:val="24"/>
        </w:rPr>
        <w:t xml:space="preserve"> through interpretations against added limitations, unnecessary hardship, and surplusage. Finally, policy considerations point to</w:t>
      </w:r>
      <w:r w:rsidR="0071299B">
        <w:rPr>
          <w:rFonts w:ascii="Times New Roman" w:hAnsi="Times New Roman" w:cs="Times New Roman"/>
          <w:sz w:val="24"/>
          <w:szCs w:val="24"/>
        </w:rPr>
        <w:t xml:space="preserve"> the</w:t>
      </w:r>
      <w:r>
        <w:rPr>
          <w:rFonts w:ascii="Times New Roman" w:hAnsi="Times New Roman" w:cs="Times New Roman"/>
          <w:sz w:val="24"/>
          <w:szCs w:val="24"/>
        </w:rPr>
        <w:t xml:space="preserve"> validity of OGS’ written agreement and the need for flexibility. </w:t>
      </w:r>
      <w:r w:rsidR="0071299B">
        <w:rPr>
          <w:rFonts w:ascii="Times New Roman" w:hAnsi="Times New Roman" w:cs="Times New Roman"/>
          <w:sz w:val="24"/>
          <w:szCs w:val="24"/>
        </w:rPr>
        <w:t xml:space="preserve">This case does not confirm </w:t>
      </w:r>
      <w:r>
        <w:rPr>
          <w:rFonts w:ascii="Times New Roman" w:hAnsi="Times New Roman" w:cs="Times New Roman"/>
          <w:sz w:val="24"/>
          <w:szCs w:val="24"/>
        </w:rPr>
        <w:t>Congress’</w:t>
      </w:r>
      <w:r w:rsidR="0071299B">
        <w:rPr>
          <w:rFonts w:ascii="Times New Roman" w:hAnsi="Times New Roman" w:cs="Times New Roman"/>
          <w:sz w:val="24"/>
          <w:szCs w:val="24"/>
        </w:rPr>
        <w:t xml:space="preserve"> fears of</w:t>
      </w:r>
      <w:r>
        <w:rPr>
          <w:rFonts w:ascii="Times New Roman" w:hAnsi="Times New Roman" w:cs="Times New Roman"/>
          <w:sz w:val="24"/>
          <w:szCs w:val="24"/>
        </w:rPr>
        <w:t xml:space="preserve"> belated written agreements</w:t>
      </w:r>
      <w:r w:rsidR="0071299B">
        <w:rPr>
          <w:rFonts w:ascii="Times New Roman" w:hAnsi="Times New Roman" w:cs="Times New Roman"/>
          <w:sz w:val="24"/>
          <w:szCs w:val="24"/>
        </w:rPr>
        <w:t>.</w:t>
      </w:r>
      <w:r>
        <w:rPr>
          <w:rFonts w:ascii="Times New Roman" w:hAnsi="Times New Roman" w:cs="Times New Roman"/>
          <w:sz w:val="24"/>
          <w:szCs w:val="24"/>
        </w:rPr>
        <w:t xml:space="preserve"> Neither</w:t>
      </w:r>
      <w:r w:rsidR="0071299B">
        <w:rPr>
          <w:rFonts w:ascii="Times New Roman" w:hAnsi="Times New Roman" w:cs="Times New Roman"/>
          <w:sz w:val="24"/>
          <w:szCs w:val="24"/>
        </w:rPr>
        <w:t xml:space="preserve"> the affected industries</w:t>
      </w:r>
      <w:r>
        <w:rPr>
          <w:rFonts w:ascii="Times New Roman" w:hAnsi="Times New Roman" w:cs="Times New Roman"/>
          <w:sz w:val="24"/>
          <w:szCs w:val="24"/>
        </w:rPr>
        <w:t xml:space="preserve"> nor judicial administration</w:t>
      </w:r>
      <w:r w:rsidR="0071299B">
        <w:rPr>
          <w:rFonts w:ascii="Times New Roman" w:hAnsi="Times New Roman" w:cs="Times New Roman"/>
          <w:sz w:val="24"/>
          <w:szCs w:val="24"/>
        </w:rPr>
        <w:t xml:space="preserve"> are</w:t>
      </w:r>
      <w:r>
        <w:rPr>
          <w:rFonts w:ascii="Times New Roman" w:hAnsi="Times New Roman" w:cs="Times New Roman"/>
          <w:sz w:val="24"/>
          <w:szCs w:val="24"/>
        </w:rPr>
        <w:t xml:space="preserve"> best served by further limitations on the timing of written agreements for works-made-for-hire. </w:t>
      </w:r>
      <w:r w:rsidR="00237021">
        <w:rPr>
          <w:rFonts w:ascii="Times New Roman" w:hAnsi="Times New Roman" w:cs="Times New Roman"/>
          <w:sz w:val="24"/>
          <w:szCs w:val="24"/>
        </w:rPr>
        <w:t xml:space="preserve">For all these reasons, the Defendant’s Motion to Dismiss under Federal Rule of Civil Procedure 12(b)(6) should be denied. </w:t>
      </w:r>
    </w:p>
    <w:p w14:paraId="64821C3F" w14:textId="77777777" w:rsidR="00827B98" w:rsidRDefault="00827B98" w:rsidP="00827B98">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Dated: December 24, 2012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6E8299B7" w14:textId="77777777" w:rsidR="00827B98" w:rsidRDefault="00827B98">
      <w:pPr>
        <w:rPr>
          <w:rFonts w:ascii="Times New Roman" w:hAnsi="Times New Roman" w:cs="Times New Roman"/>
          <w:sz w:val="24"/>
          <w:szCs w:val="24"/>
        </w:rPr>
      </w:pPr>
    </w:p>
    <w:p w14:paraId="234FF2D9" w14:textId="3B8E4A93" w:rsidR="002714C2" w:rsidRPr="002714C2" w:rsidRDefault="00827B98" w:rsidP="00827B98">
      <w:pPr>
        <w:rPr>
          <w:i/>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w:t>
      </w:r>
      <w:r>
        <w:rPr>
          <w:rFonts w:ascii="Times New Roman" w:hAnsi="Times New Roman" w:cs="Times New Roman"/>
          <w:sz w:val="24"/>
          <w:szCs w:val="24"/>
        </w:rPr>
        <w:br/>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72790">
        <w:rPr>
          <w:rFonts w:ascii="Times New Roman" w:hAnsi="Times New Roman" w:cs="Times New Roman"/>
          <w:sz w:val="24"/>
          <w:szCs w:val="24"/>
        </w:rPr>
        <w:t>X</w:t>
      </w:r>
      <w:r>
        <w:rPr>
          <w:rFonts w:ascii="Times New Roman" w:hAnsi="Times New Roman" w:cs="Times New Roman"/>
          <w:sz w:val="24"/>
          <w:szCs w:val="24"/>
        </w:rPr>
        <w:t xml:space="preserve"> </w:t>
      </w:r>
      <w:r>
        <w:rPr>
          <w:rFonts w:ascii="Times New Roman" w:hAnsi="Times New Roman" w:cs="Times New Roman"/>
          <w:sz w:val="24"/>
          <w:szCs w:val="24"/>
        </w:rPr>
        <w:br/>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Attorney for Plaintiff OGS </w:t>
      </w:r>
      <w:r>
        <w:rPr>
          <w:rFonts w:ascii="Times New Roman" w:hAnsi="Times New Roman" w:cs="Times New Roman"/>
          <w:sz w:val="24"/>
          <w:szCs w:val="24"/>
        </w:rPr>
        <w:br/>
      </w: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911 Legal Lane </w:t>
      </w:r>
      <w:r>
        <w:rPr>
          <w:rFonts w:ascii="Times New Roman" w:hAnsi="Times New Roman" w:cs="Times New Roman"/>
          <w:sz w:val="24"/>
          <w:szCs w:val="24"/>
        </w:rPr>
        <w:br/>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B6140">
        <w:rPr>
          <w:rFonts w:ascii="Times New Roman" w:hAnsi="Times New Roman" w:cs="Times New Roman"/>
          <w:sz w:val="24"/>
          <w:szCs w:val="24"/>
        </w:rPr>
        <w:t>&lt;redacted&gt;&lt;/redacted&gt;</w:t>
      </w:r>
      <w:bookmarkStart w:id="0" w:name="_GoBack"/>
      <w:bookmarkEnd w:id="0"/>
    </w:p>
    <w:sectPr w:rsidR="002714C2" w:rsidRPr="002714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810A8"/>
    <w:multiLevelType w:val="hybridMultilevel"/>
    <w:tmpl w:val="2870DB86"/>
    <w:lvl w:ilvl="0" w:tplc="666EEB5E">
      <w:start w:val="1"/>
      <w:numFmt w:val="upp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7425155"/>
    <w:multiLevelType w:val="hybridMultilevel"/>
    <w:tmpl w:val="13F643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AE28FE"/>
    <w:multiLevelType w:val="hybridMultilevel"/>
    <w:tmpl w:val="3EF227EC"/>
    <w:lvl w:ilvl="0" w:tplc="3E18AA48">
      <w:start w:val="1"/>
      <w:numFmt w:val="lowerRoman"/>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FCB"/>
    <w:rsid w:val="000450AE"/>
    <w:rsid w:val="0007541B"/>
    <w:rsid w:val="000F021A"/>
    <w:rsid w:val="00153511"/>
    <w:rsid w:val="0016131E"/>
    <w:rsid w:val="00171B34"/>
    <w:rsid w:val="001A01FD"/>
    <w:rsid w:val="001D57EB"/>
    <w:rsid w:val="001E5D1D"/>
    <w:rsid w:val="00237021"/>
    <w:rsid w:val="002409EA"/>
    <w:rsid w:val="002524C6"/>
    <w:rsid w:val="0026305F"/>
    <w:rsid w:val="002714C2"/>
    <w:rsid w:val="002C2C87"/>
    <w:rsid w:val="0034308D"/>
    <w:rsid w:val="00365FE1"/>
    <w:rsid w:val="00383C4E"/>
    <w:rsid w:val="00441C22"/>
    <w:rsid w:val="004A0689"/>
    <w:rsid w:val="004A46AD"/>
    <w:rsid w:val="004B1BDA"/>
    <w:rsid w:val="004C1ABD"/>
    <w:rsid w:val="004E6AFC"/>
    <w:rsid w:val="00520A6B"/>
    <w:rsid w:val="00543FFF"/>
    <w:rsid w:val="0058003E"/>
    <w:rsid w:val="005C230B"/>
    <w:rsid w:val="005E0DA0"/>
    <w:rsid w:val="005F2092"/>
    <w:rsid w:val="00633CF1"/>
    <w:rsid w:val="0071299B"/>
    <w:rsid w:val="0076245B"/>
    <w:rsid w:val="007B7B4F"/>
    <w:rsid w:val="007F788A"/>
    <w:rsid w:val="00803F93"/>
    <w:rsid w:val="00827B98"/>
    <w:rsid w:val="00855FA0"/>
    <w:rsid w:val="00897860"/>
    <w:rsid w:val="00916692"/>
    <w:rsid w:val="0096524A"/>
    <w:rsid w:val="009920B6"/>
    <w:rsid w:val="009948D8"/>
    <w:rsid w:val="009A5947"/>
    <w:rsid w:val="00A07FCB"/>
    <w:rsid w:val="00A12AD5"/>
    <w:rsid w:val="00A651AD"/>
    <w:rsid w:val="00AD062A"/>
    <w:rsid w:val="00AE3FA9"/>
    <w:rsid w:val="00B92537"/>
    <w:rsid w:val="00BA476C"/>
    <w:rsid w:val="00BB6140"/>
    <w:rsid w:val="00BF2250"/>
    <w:rsid w:val="00C45A4D"/>
    <w:rsid w:val="00C75D08"/>
    <w:rsid w:val="00C97A24"/>
    <w:rsid w:val="00CC0E6B"/>
    <w:rsid w:val="00D318AE"/>
    <w:rsid w:val="00D50D4D"/>
    <w:rsid w:val="00D52B56"/>
    <w:rsid w:val="00D73A88"/>
    <w:rsid w:val="00D86AB5"/>
    <w:rsid w:val="00DA3404"/>
    <w:rsid w:val="00E130D2"/>
    <w:rsid w:val="00E143A4"/>
    <w:rsid w:val="00E316F5"/>
    <w:rsid w:val="00E72790"/>
    <w:rsid w:val="00E817B5"/>
    <w:rsid w:val="00EA56BD"/>
    <w:rsid w:val="00F132BA"/>
    <w:rsid w:val="00F55684"/>
    <w:rsid w:val="00FA3BA3"/>
    <w:rsid w:val="00FF1F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02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F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4C1ABD"/>
  </w:style>
  <w:style w:type="paragraph" w:styleId="ListParagraph">
    <w:name w:val="List Paragraph"/>
    <w:basedOn w:val="Normal"/>
    <w:uiPriority w:val="34"/>
    <w:qFormat/>
    <w:rsid w:val="0076245B"/>
    <w:pPr>
      <w:ind w:left="720"/>
      <w:contextualSpacing/>
    </w:pPr>
  </w:style>
  <w:style w:type="paragraph" w:styleId="BalloonText">
    <w:name w:val="Balloon Text"/>
    <w:basedOn w:val="Normal"/>
    <w:link w:val="BalloonTextChar"/>
    <w:uiPriority w:val="99"/>
    <w:semiHidden/>
    <w:unhideWhenUsed/>
    <w:rsid w:val="00F556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684"/>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F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4C1ABD"/>
  </w:style>
  <w:style w:type="paragraph" w:styleId="ListParagraph">
    <w:name w:val="List Paragraph"/>
    <w:basedOn w:val="Normal"/>
    <w:uiPriority w:val="34"/>
    <w:qFormat/>
    <w:rsid w:val="0076245B"/>
    <w:pPr>
      <w:ind w:left="720"/>
      <w:contextualSpacing/>
    </w:pPr>
  </w:style>
  <w:style w:type="paragraph" w:styleId="BalloonText">
    <w:name w:val="Balloon Text"/>
    <w:basedOn w:val="Normal"/>
    <w:link w:val="BalloonTextChar"/>
    <w:uiPriority w:val="99"/>
    <w:semiHidden/>
    <w:unhideWhenUsed/>
    <w:rsid w:val="00F556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6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4B774-C23B-B24D-A509-0DD2DBBD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3400</Words>
  <Characters>17340</Characters>
  <Application>Microsoft Macintosh Word</Application>
  <DocSecurity>0</DocSecurity>
  <Lines>309</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2012-03-31T19:29:00Z</cp:lastPrinted>
  <dcterms:created xsi:type="dcterms:W3CDTF">2012-04-30T12:14:00Z</dcterms:created>
  <dcterms:modified xsi:type="dcterms:W3CDTF">2012-06-16T05:04:00Z</dcterms:modified>
  <cp:category/>
</cp:coreProperties>
</file>